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728C" w14:textId="77777777" w:rsidR="004024FB" w:rsidRPr="00AD3D34" w:rsidRDefault="004024FB" w:rsidP="004024FB">
      <w:pPr>
        <w:suppressAutoHyphens/>
        <w:spacing w:line="288" w:lineRule="auto"/>
        <w:jc w:val="center"/>
        <w:rPr>
          <w:rFonts w:ascii="PT Astra Serif" w:hAnsi="PT Astra Serif"/>
          <w:b/>
        </w:rPr>
      </w:pPr>
      <w:r w:rsidRPr="00AD3D34">
        <w:rPr>
          <w:rFonts w:ascii="PT Astra Serif" w:hAnsi="PT Astra Serif"/>
          <w:b/>
        </w:rPr>
        <w:t>СЧЕТНАЯ ПАЛАТА УЛЬЯНОВСКОЙ ОБЛАСТИ</w:t>
      </w:r>
    </w:p>
    <w:p w14:paraId="20EF2B38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1259CC54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1A0062D9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1BDCD861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0265C7E6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15B2810C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7C0D6F91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2A7E0616" w14:textId="77777777" w:rsidR="005B7CE9" w:rsidRPr="00AD3D34" w:rsidRDefault="005B7CE9" w:rsidP="005B7CE9">
      <w:pPr>
        <w:spacing w:line="288" w:lineRule="auto"/>
        <w:jc w:val="center"/>
        <w:outlineLvl w:val="0"/>
        <w:rPr>
          <w:rFonts w:ascii="PT Astra Serif" w:hAnsi="PT Astra Serif"/>
          <w:b/>
          <w:bCs/>
          <w:kern w:val="36"/>
          <w:sz w:val="34"/>
          <w:szCs w:val="34"/>
        </w:rPr>
      </w:pPr>
      <w:r w:rsidRPr="00AD3D34">
        <w:rPr>
          <w:rFonts w:ascii="PT Astra Serif" w:hAnsi="PT Astra Serif"/>
          <w:b/>
          <w:bCs/>
          <w:kern w:val="36"/>
          <w:sz w:val="34"/>
          <w:szCs w:val="34"/>
        </w:rPr>
        <w:t>Стандарт</w:t>
      </w:r>
    </w:p>
    <w:p w14:paraId="3FBC4FEF" w14:textId="77777777" w:rsidR="005B7CE9" w:rsidRPr="00AD3D34" w:rsidRDefault="005B7CE9" w:rsidP="005B7CE9">
      <w:pPr>
        <w:spacing w:line="288" w:lineRule="auto"/>
        <w:jc w:val="center"/>
        <w:outlineLvl w:val="0"/>
        <w:rPr>
          <w:rFonts w:ascii="PT Astra Serif" w:hAnsi="PT Astra Serif"/>
          <w:b/>
          <w:bCs/>
          <w:kern w:val="36"/>
          <w:sz w:val="34"/>
          <w:szCs w:val="34"/>
        </w:rPr>
      </w:pPr>
      <w:r w:rsidRPr="00AD3D34">
        <w:rPr>
          <w:rFonts w:ascii="PT Astra Serif" w:hAnsi="PT Astra Serif"/>
          <w:b/>
          <w:bCs/>
          <w:kern w:val="36"/>
          <w:sz w:val="34"/>
          <w:szCs w:val="34"/>
        </w:rPr>
        <w:t>внешнего государственного финансового контроля</w:t>
      </w:r>
    </w:p>
    <w:p w14:paraId="36536AC7" w14:textId="77777777" w:rsidR="004024FB" w:rsidRPr="00AD3D34" w:rsidRDefault="004024FB" w:rsidP="004024FB">
      <w:pPr>
        <w:pStyle w:val="ab"/>
        <w:suppressAutoHyphens/>
        <w:spacing w:after="0" w:line="288" w:lineRule="auto"/>
        <w:ind w:firstLine="0"/>
        <w:jc w:val="center"/>
        <w:rPr>
          <w:rFonts w:ascii="PT Astra Serif" w:hAnsi="PT Astra Serif"/>
          <w:b/>
          <w:sz w:val="34"/>
          <w:szCs w:val="34"/>
        </w:rPr>
      </w:pPr>
      <w:r w:rsidRPr="00AD3D34">
        <w:rPr>
          <w:rFonts w:ascii="PT Astra Serif" w:hAnsi="PT Astra Serif"/>
          <w:b/>
          <w:sz w:val="34"/>
          <w:szCs w:val="34"/>
        </w:rPr>
        <w:t xml:space="preserve">СФК № 16 «Организация и проведение внешней проверки годового отчета об исполнении  </w:t>
      </w:r>
      <w:r w:rsidR="00767B91" w:rsidRPr="00AD3D34">
        <w:rPr>
          <w:rFonts w:ascii="PT Astra Serif" w:hAnsi="PT Astra Serif"/>
          <w:b/>
          <w:sz w:val="34"/>
          <w:szCs w:val="34"/>
        </w:rPr>
        <w:t xml:space="preserve"> </w:t>
      </w:r>
      <w:proofErr w:type="gramStart"/>
      <w:r w:rsidRPr="00AD3D34">
        <w:rPr>
          <w:rFonts w:ascii="PT Astra Serif" w:hAnsi="PT Astra Serif"/>
          <w:b/>
          <w:sz w:val="34"/>
          <w:szCs w:val="34"/>
        </w:rPr>
        <w:t>бюджета</w:t>
      </w:r>
      <w:r w:rsidR="00767B91" w:rsidRPr="00AD3D34">
        <w:rPr>
          <w:rFonts w:ascii="PT Astra Serif" w:hAnsi="PT Astra Serif"/>
          <w:b/>
          <w:sz w:val="34"/>
          <w:szCs w:val="34"/>
        </w:rPr>
        <w:t xml:space="preserve"> </w:t>
      </w:r>
      <w:r w:rsidRPr="00AD3D34">
        <w:rPr>
          <w:rFonts w:ascii="PT Astra Serif" w:hAnsi="PT Astra Serif"/>
          <w:b/>
          <w:sz w:val="34"/>
          <w:szCs w:val="34"/>
        </w:rPr>
        <w:t xml:space="preserve"> Территориального</w:t>
      </w:r>
      <w:proofErr w:type="gramEnd"/>
      <w:r w:rsidRPr="00AD3D34">
        <w:rPr>
          <w:rFonts w:ascii="PT Astra Serif" w:hAnsi="PT Astra Serif"/>
          <w:b/>
          <w:sz w:val="34"/>
          <w:szCs w:val="34"/>
        </w:rPr>
        <w:t xml:space="preserve"> фонда обязательного медицинского страхования</w:t>
      </w:r>
      <w:r w:rsidRPr="00AD3D34">
        <w:rPr>
          <w:rFonts w:ascii="PT Astra Serif" w:hAnsi="PT Astra Serif"/>
          <w:b/>
        </w:rPr>
        <w:t xml:space="preserve"> </w:t>
      </w:r>
      <w:r w:rsidRPr="00AD3D34">
        <w:rPr>
          <w:rFonts w:ascii="PT Astra Serif" w:hAnsi="PT Astra Serif"/>
          <w:b/>
          <w:sz w:val="34"/>
          <w:szCs w:val="34"/>
        </w:rPr>
        <w:t>Ульяновской области»</w:t>
      </w:r>
    </w:p>
    <w:p w14:paraId="123226B6" w14:textId="77777777" w:rsidR="00AD3D34" w:rsidRPr="00AD3D34" w:rsidRDefault="00AD3D34" w:rsidP="004024FB">
      <w:pPr>
        <w:pStyle w:val="ab"/>
        <w:suppressAutoHyphens/>
        <w:spacing w:after="0" w:line="288" w:lineRule="auto"/>
        <w:ind w:firstLine="0"/>
        <w:jc w:val="center"/>
        <w:rPr>
          <w:rFonts w:ascii="PT Astra Serif" w:hAnsi="PT Astra Serif"/>
          <w:b/>
          <w:sz w:val="34"/>
          <w:szCs w:val="34"/>
        </w:rPr>
      </w:pPr>
    </w:p>
    <w:p w14:paraId="39341DCC" w14:textId="77777777" w:rsidR="004024FB" w:rsidRPr="00AD3D34" w:rsidRDefault="004024FB" w:rsidP="004024FB">
      <w:pPr>
        <w:pStyle w:val="ab"/>
        <w:suppressAutoHyphens/>
        <w:spacing w:line="288" w:lineRule="auto"/>
        <w:jc w:val="center"/>
        <w:rPr>
          <w:rFonts w:ascii="PT Astra Serif" w:hAnsi="PT Astra Serif"/>
          <w:szCs w:val="28"/>
        </w:rPr>
      </w:pPr>
      <w:r w:rsidRPr="00AD3D34">
        <w:rPr>
          <w:rFonts w:ascii="PT Astra Serif" w:hAnsi="PT Astra Serif"/>
          <w:szCs w:val="28"/>
        </w:rPr>
        <w:t xml:space="preserve">утверждён решением Коллегии Счётной палаты Ульяновской области </w:t>
      </w:r>
    </w:p>
    <w:p w14:paraId="5EC9BBC0" w14:textId="0D02AD5E" w:rsidR="00AD3D34" w:rsidRPr="00AD3D34" w:rsidRDefault="004024FB" w:rsidP="00AD3D34">
      <w:pPr>
        <w:pStyle w:val="ab"/>
        <w:suppressAutoHyphens/>
        <w:spacing w:line="288" w:lineRule="auto"/>
        <w:ind w:firstLine="0"/>
        <w:rPr>
          <w:rFonts w:ascii="PT Astra Serif" w:hAnsi="PT Astra Serif"/>
          <w:b/>
          <w:szCs w:val="28"/>
        </w:rPr>
      </w:pPr>
      <w:r w:rsidRPr="00AD3D34">
        <w:rPr>
          <w:rFonts w:ascii="PT Astra Serif" w:hAnsi="PT Astra Serif"/>
          <w:szCs w:val="28"/>
        </w:rPr>
        <w:t>«</w:t>
      </w:r>
      <w:r w:rsidR="005C7299" w:rsidRPr="00AD3D34">
        <w:rPr>
          <w:rFonts w:ascii="PT Astra Serif" w:hAnsi="PT Astra Serif"/>
          <w:szCs w:val="28"/>
        </w:rPr>
        <w:t xml:space="preserve">27» декабря </w:t>
      </w:r>
      <w:r w:rsidRPr="00AD3D34">
        <w:rPr>
          <w:rFonts w:ascii="PT Astra Serif" w:hAnsi="PT Astra Serif"/>
          <w:szCs w:val="28"/>
        </w:rPr>
        <w:t xml:space="preserve">  201</w:t>
      </w:r>
      <w:r w:rsidR="005C7299" w:rsidRPr="00AD3D34">
        <w:rPr>
          <w:rFonts w:ascii="PT Astra Serif" w:hAnsi="PT Astra Serif"/>
          <w:szCs w:val="28"/>
        </w:rPr>
        <w:t>7</w:t>
      </w:r>
      <w:r w:rsidRPr="00AD3D34">
        <w:rPr>
          <w:rFonts w:ascii="PT Astra Serif" w:hAnsi="PT Astra Serif"/>
          <w:szCs w:val="28"/>
        </w:rPr>
        <w:t xml:space="preserve"> г., протокол № </w:t>
      </w:r>
      <w:r w:rsidR="005C7299" w:rsidRPr="00AD3D34">
        <w:rPr>
          <w:rFonts w:ascii="PT Astra Serif" w:hAnsi="PT Astra Serif"/>
          <w:szCs w:val="28"/>
        </w:rPr>
        <w:t>19</w:t>
      </w:r>
      <w:r w:rsidRPr="00AD3D34">
        <w:rPr>
          <w:rFonts w:ascii="PT Astra Serif" w:hAnsi="PT Astra Serif"/>
          <w:szCs w:val="28"/>
        </w:rPr>
        <w:t xml:space="preserve"> /201</w:t>
      </w:r>
      <w:r w:rsidR="005C7299" w:rsidRPr="00AD3D34">
        <w:rPr>
          <w:rFonts w:ascii="PT Astra Serif" w:hAnsi="PT Astra Serif"/>
          <w:szCs w:val="28"/>
        </w:rPr>
        <w:t>7</w:t>
      </w:r>
      <w:r w:rsidR="00AD3D34" w:rsidRPr="00AD3D34">
        <w:rPr>
          <w:rFonts w:ascii="PT Astra Serif" w:hAnsi="PT Astra Serif"/>
          <w:szCs w:val="28"/>
        </w:rPr>
        <w:t xml:space="preserve">, </w:t>
      </w:r>
      <w:r w:rsidR="00AD3D34" w:rsidRPr="00AD3D34">
        <w:rPr>
          <w:rFonts w:ascii="PT Astra Serif" w:hAnsi="PT Astra Serif"/>
          <w:szCs w:val="28"/>
        </w:rPr>
        <w:t>с изменениями, утверждёнными решением Коллегии Счётной палаты Ульяновской области от «27» сентября 2023 г., протокол № 13/2023)</w:t>
      </w:r>
    </w:p>
    <w:p w14:paraId="1F67FC38" w14:textId="1AC692EB" w:rsidR="004024FB" w:rsidRPr="00AD3D34" w:rsidRDefault="004024FB" w:rsidP="004024FB">
      <w:pPr>
        <w:pStyle w:val="ab"/>
        <w:suppressAutoHyphens/>
        <w:spacing w:line="288" w:lineRule="auto"/>
        <w:jc w:val="center"/>
        <w:rPr>
          <w:rFonts w:ascii="PT Astra Serif" w:hAnsi="PT Astra Serif"/>
          <w:b/>
          <w:szCs w:val="28"/>
        </w:rPr>
      </w:pPr>
    </w:p>
    <w:p w14:paraId="7343B367" w14:textId="77777777" w:rsidR="004024FB" w:rsidRPr="00AD3D34" w:rsidRDefault="004024FB" w:rsidP="004024FB">
      <w:pPr>
        <w:pStyle w:val="ab"/>
        <w:suppressAutoHyphens/>
        <w:spacing w:line="288" w:lineRule="auto"/>
        <w:jc w:val="center"/>
        <w:rPr>
          <w:rFonts w:ascii="PT Astra Serif" w:hAnsi="PT Astra Serif"/>
          <w:b/>
          <w:sz w:val="34"/>
          <w:szCs w:val="34"/>
        </w:rPr>
      </w:pPr>
    </w:p>
    <w:p w14:paraId="07466611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32C6402A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7A98689D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43F25BAD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43B3D370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  <w:r w:rsidRPr="00AD3D34">
        <w:rPr>
          <w:rFonts w:ascii="PT Astra Serif" w:hAnsi="PT Astra Serif"/>
        </w:rPr>
        <w:t xml:space="preserve">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4024FB" w:rsidRPr="00AD3D34" w14:paraId="34D9DB58" w14:textId="77777777" w:rsidTr="00842F24">
        <w:tc>
          <w:tcPr>
            <w:tcW w:w="4785" w:type="dxa"/>
          </w:tcPr>
          <w:p w14:paraId="64C3567D" w14:textId="77777777" w:rsidR="004024FB" w:rsidRPr="00AD3D34" w:rsidRDefault="004024FB" w:rsidP="00842F24">
            <w:pPr>
              <w:tabs>
                <w:tab w:val="left" w:pos="1418"/>
                <w:tab w:val="left" w:pos="1560"/>
              </w:tabs>
              <w:ind w:left="744"/>
              <w:jc w:val="right"/>
              <w:rPr>
                <w:rFonts w:ascii="PT Astra Serif" w:hAnsi="PT Astra Serif"/>
                <w:color w:val="FF0000"/>
                <w:spacing w:val="-2"/>
              </w:rPr>
            </w:pPr>
            <w:r w:rsidRPr="00AD3D34">
              <w:rPr>
                <w:rFonts w:ascii="PT Astra Serif" w:hAnsi="PT Astra Serif"/>
                <w:color w:val="FF0000"/>
                <w:spacing w:val="-2"/>
              </w:rPr>
              <w:t xml:space="preserve">  </w:t>
            </w:r>
          </w:p>
        </w:tc>
      </w:tr>
      <w:tr w:rsidR="004024FB" w:rsidRPr="00AD3D34" w14:paraId="08465652" w14:textId="77777777" w:rsidTr="00842F24">
        <w:tc>
          <w:tcPr>
            <w:tcW w:w="4785" w:type="dxa"/>
          </w:tcPr>
          <w:p w14:paraId="24C081F5" w14:textId="77777777" w:rsidR="004024FB" w:rsidRPr="00AD3D34" w:rsidRDefault="004024FB" w:rsidP="00842F24">
            <w:pPr>
              <w:tabs>
                <w:tab w:val="left" w:pos="1418"/>
                <w:tab w:val="left" w:pos="1560"/>
              </w:tabs>
              <w:ind w:left="744"/>
              <w:jc w:val="right"/>
              <w:rPr>
                <w:rFonts w:ascii="PT Astra Serif" w:hAnsi="PT Astra Serif"/>
                <w:color w:val="FF0000"/>
                <w:spacing w:val="-2"/>
              </w:rPr>
            </w:pPr>
          </w:p>
        </w:tc>
      </w:tr>
      <w:tr w:rsidR="004024FB" w:rsidRPr="00AD3D34" w14:paraId="3E0361CD" w14:textId="77777777" w:rsidTr="00842F24">
        <w:tc>
          <w:tcPr>
            <w:tcW w:w="4785" w:type="dxa"/>
          </w:tcPr>
          <w:p w14:paraId="0D6A31C1" w14:textId="77777777" w:rsidR="004024FB" w:rsidRPr="00AD3D34" w:rsidRDefault="004024FB" w:rsidP="00842F24">
            <w:pPr>
              <w:tabs>
                <w:tab w:val="left" w:pos="1418"/>
                <w:tab w:val="left" w:pos="1560"/>
              </w:tabs>
              <w:ind w:left="744"/>
              <w:jc w:val="right"/>
              <w:rPr>
                <w:rFonts w:ascii="PT Astra Serif" w:hAnsi="PT Astra Serif"/>
                <w:color w:val="FF0000"/>
                <w:spacing w:val="-2"/>
              </w:rPr>
            </w:pPr>
          </w:p>
        </w:tc>
      </w:tr>
      <w:tr w:rsidR="004024FB" w:rsidRPr="00AD3D34" w14:paraId="7DBDBA2C" w14:textId="77777777" w:rsidTr="00842F24">
        <w:tc>
          <w:tcPr>
            <w:tcW w:w="4785" w:type="dxa"/>
          </w:tcPr>
          <w:p w14:paraId="22CBC127" w14:textId="77777777" w:rsidR="004024FB" w:rsidRPr="00AD3D34" w:rsidRDefault="004024FB" w:rsidP="00842F24">
            <w:pPr>
              <w:tabs>
                <w:tab w:val="left" w:pos="1418"/>
                <w:tab w:val="left" w:pos="1560"/>
              </w:tabs>
              <w:jc w:val="right"/>
              <w:rPr>
                <w:rFonts w:ascii="PT Astra Serif" w:hAnsi="PT Astra Serif"/>
                <w:color w:val="FF0000"/>
                <w:spacing w:val="-2"/>
              </w:rPr>
            </w:pPr>
          </w:p>
        </w:tc>
      </w:tr>
      <w:tr w:rsidR="004024FB" w:rsidRPr="00AD3D34" w14:paraId="3662BE59" w14:textId="77777777" w:rsidTr="00842F24">
        <w:tc>
          <w:tcPr>
            <w:tcW w:w="4785" w:type="dxa"/>
          </w:tcPr>
          <w:p w14:paraId="729C3559" w14:textId="77777777" w:rsidR="004024FB" w:rsidRPr="00AD3D34" w:rsidRDefault="004024FB" w:rsidP="00842F24">
            <w:pPr>
              <w:tabs>
                <w:tab w:val="left" w:pos="1418"/>
                <w:tab w:val="left" w:pos="1560"/>
              </w:tabs>
              <w:rPr>
                <w:rFonts w:ascii="PT Astra Serif" w:hAnsi="PT Astra Serif"/>
                <w:i/>
                <w:spacing w:val="-2"/>
                <w:u w:val="single"/>
              </w:rPr>
            </w:pPr>
          </w:p>
          <w:p w14:paraId="6DB791D6" w14:textId="77777777" w:rsidR="004024FB" w:rsidRPr="00AD3D34" w:rsidRDefault="004024FB" w:rsidP="00842F24">
            <w:pPr>
              <w:tabs>
                <w:tab w:val="left" w:pos="1418"/>
                <w:tab w:val="left" w:pos="1560"/>
              </w:tabs>
              <w:rPr>
                <w:rFonts w:ascii="PT Astra Serif" w:hAnsi="PT Astra Serif"/>
                <w:spacing w:val="-2"/>
              </w:rPr>
            </w:pPr>
          </w:p>
        </w:tc>
      </w:tr>
    </w:tbl>
    <w:p w14:paraId="052D1CB3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2EB2B3A1" w14:textId="77777777" w:rsidR="004024FB" w:rsidRPr="00AD3D34" w:rsidRDefault="004024FB" w:rsidP="004024FB">
      <w:pPr>
        <w:pStyle w:val="ab"/>
        <w:suppressAutoHyphens/>
        <w:jc w:val="right"/>
        <w:rPr>
          <w:rFonts w:ascii="PT Astra Serif" w:hAnsi="PT Astra Serif"/>
          <w:szCs w:val="28"/>
        </w:rPr>
      </w:pPr>
      <w:r w:rsidRPr="00AD3D34">
        <w:rPr>
          <w:rFonts w:ascii="PT Astra Serif" w:hAnsi="PT Astra Serif"/>
          <w:szCs w:val="28"/>
        </w:rPr>
        <w:t xml:space="preserve">   Действует с 01.0</w:t>
      </w:r>
      <w:r w:rsidR="00414AD3" w:rsidRPr="00AD3D34">
        <w:rPr>
          <w:rFonts w:ascii="PT Astra Serif" w:hAnsi="PT Astra Serif"/>
          <w:szCs w:val="28"/>
        </w:rPr>
        <w:t>1</w:t>
      </w:r>
      <w:r w:rsidRPr="00AD3D34">
        <w:rPr>
          <w:rFonts w:ascii="PT Astra Serif" w:hAnsi="PT Astra Serif"/>
          <w:szCs w:val="28"/>
        </w:rPr>
        <w:t>.2018</w:t>
      </w:r>
    </w:p>
    <w:p w14:paraId="18A1EE99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174B2586" w14:textId="77777777" w:rsidR="004024FB" w:rsidRPr="00AD3D34" w:rsidRDefault="004024FB" w:rsidP="004024FB">
      <w:pPr>
        <w:suppressAutoHyphens/>
        <w:spacing w:line="288" w:lineRule="auto"/>
        <w:rPr>
          <w:rFonts w:ascii="PT Astra Serif" w:hAnsi="PT Astra Serif"/>
        </w:rPr>
      </w:pPr>
    </w:p>
    <w:p w14:paraId="38EB3329" w14:textId="77777777" w:rsidR="00EC5AA8" w:rsidRPr="00AD3D34" w:rsidRDefault="00EC5AA8" w:rsidP="008F72E6">
      <w:pPr>
        <w:jc w:val="center"/>
      </w:pPr>
    </w:p>
    <w:p w14:paraId="23B824C1" w14:textId="4EFF015C" w:rsidR="00DE6658" w:rsidRPr="00AD3D34" w:rsidRDefault="00DE6658" w:rsidP="00DE6658">
      <w:pPr>
        <w:spacing w:after="200" w:line="276" w:lineRule="auto"/>
        <w:jc w:val="center"/>
        <w:rPr>
          <w:b/>
        </w:rPr>
      </w:pPr>
      <w:bookmarkStart w:id="0" w:name="_Toc433018580"/>
      <w:bookmarkStart w:id="1" w:name="_Toc433270143"/>
      <w:bookmarkStart w:id="2" w:name="_Toc435015028"/>
      <w:bookmarkStart w:id="3" w:name="_Toc406495302"/>
      <w:bookmarkStart w:id="4" w:name="_Toc410905364"/>
      <w:bookmarkStart w:id="5" w:name="_Toc411258024"/>
      <w:r w:rsidRPr="00AD3D34">
        <w:rPr>
          <w:b/>
        </w:rPr>
        <w:lastRenderedPageBreak/>
        <w:t>Содержание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66"/>
        <w:gridCol w:w="9607"/>
      </w:tblGrid>
      <w:tr w:rsidR="00DE6658" w:rsidRPr="00AD3D34" w14:paraId="7C37DADE" w14:textId="77777777" w:rsidTr="00C50AA7">
        <w:trPr>
          <w:trHeight w:val="323"/>
        </w:trPr>
        <w:tc>
          <w:tcPr>
            <w:tcW w:w="566" w:type="dxa"/>
            <w:shd w:val="clear" w:color="auto" w:fill="auto"/>
          </w:tcPr>
          <w:p w14:paraId="6A66B815" w14:textId="77777777" w:rsidR="00DE6658" w:rsidRPr="00AD3D34" w:rsidRDefault="00DE6658" w:rsidP="00882226">
            <w:pPr>
              <w:spacing w:line="288" w:lineRule="auto"/>
              <w:jc w:val="center"/>
            </w:pPr>
            <w:r w:rsidRPr="00AD3D34">
              <w:t>1.</w:t>
            </w:r>
          </w:p>
        </w:tc>
        <w:tc>
          <w:tcPr>
            <w:tcW w:w="9607" w:type="dxa"/>
          </w:tcPr>
          <w:p w14:paraId="01B0F1C6" w14:textId="77777777" w:rsidR="00DE6658" w:rsidRPr="00AD3D34" w:rsidRDefault="00DE6658" w:rsidP="00882226">
            <w:pPr>
              <w:spacing w:line="288" w:lineRule="auto"/>
              <w:ind w:left="-108"/>
              <w:jc w:val="both"/>
            </w:pPr>
            <w:r w:rsidRPr="00AD3D34">
              <w:t>Общие положения……………………………………………………………</w:t>
            </w:r>
            <w:proofErr w:type="gramStart"/>
            <w:r w:rsidRPr="00AD3D34">
              <w:t>…….</w:t>
            </w:r>
            <w:proofErr w:type="gramEnd"/>
            <w:r w:rsidRPr="00AD3D34">
              <w:t>3</w:t>
            </w:r>
          </w:p>
        </w:tc>
      </w:tr>
      <w:tr w:rsidR="00DE6658" w:rsidRPr="00AD3D34" w14:paraId="2D62225A" w14:textId="77777777" w:rsidTr="00C50AA7">
        <w:trPr>
          <w:trHeight w:val="282"/>
        </w:trPr>
        <w:tc>
          <w:tcPr>
            <w:tcW w:w="566" w:type="dxa"/>
            <w:shd w:val="clear" w:color="auto" w:fill="auto"/>
          </w:tcPr>
          <w:p w14:paraId="05D481B9" w14:textId="77777777" w:rsidR="00DE6658" w:rsidRPr="00AD3D34" w:rsidRDefault="00DE6658" w:rsidP="00882226">
            <w:pPr>
              <w:spacing w:line="288" w:lineRule="auto"/>
              <w:jc w:val="center"/>
            </w:pPr>
            <w:r w:rsidRPr="00AD3D34">
              <w:t>2.</w:t>
            </w:r>
          </w:p>
        </w:tc>
        <w:tc>
          <w:tcPr>
            <w:tcW w:w="9607" w:type="dxa"/>
          </w:tcPr>
          <w:p w14:paraId="44813F31" w14:textId="77777777" w:rsidR="00DE6658" w:rsidRPr="00AD3D34" w:rsidRDefault="00B14B2E" w:rsidP="00B14B2E">
            <w:pPr>
              <w:spacing w:line="288" w:lineRule="auto"/>
              <w:ind w:left="-108"/>
              <w:jc w:val="both"/>
            </w:pPr>
            <w:r w:rsidRPr="00AD3D34">
              <w:rPr>
                <w:bCs/>
              </w:rPr>
              <w:t>Ц</w:t>
            </w:r>
            <w:r w:rsidR="00DE6658" w:rsidRPr="00AD3D34">
              <w:rPr>
                <w:color w:val="000000"/>
              </w:rPr>
              <w:t>ел</w:t>
            </w:r>
            <w:r w:rsidRPr="00AD3D34">
              <w:rPr>
                <w:color w:val="000000"/>
              </w:rPr>
              <w:t>и</w:t>
            </w:r>
            <w:r w:rsidR="00DE6658" w:rsidRPr="00AD3D34">
              <w:rPr>
                <w:color w:val="000000"/>
              </w:rPr>
              <w:t>, задач</w:t>
            </w:r>
            <w:r w:rsidRPr="00AD3D34">
              <w:rPr>
                <w:color w:val="000000"/>
              </w:rPr>
              <w:t>и</w:t>
            </w:r>
            <w:r w:rsidR="00DE6658" w:rsidRPr="00AD3D34">
              <w:rPr>
                <w:color w:val="000000"/>
              </w:rPr>
              <w:t>, предмет, объект</w:t>
            </w:r>
            <w:r w:rsidRPr="00AD3D34">
              <w:rPr>
                <w:color w:val="000000"/>
              </w:rPr>
              <w:t>ы внешней проверки……</w:t>
            </w:r>
            <w:proofErr w:type="gramStart"/>
            <w:r w:rsidRPr="00AD3D34">
              <w:rPr>
                <w:color w:val="000000"/>
              </w:rPr>
              <w:t>…….</w:t>
            </w:r>
            <w:proofErr w:type="gramEnd"/>
            <w:r w:rsidR="00DE6658" w:rsidRPr="00AD3D34">
              <w:t>…………..…….4</w:t>
            </w:r>
          </w:p>
        </w:tc>
      </w:tr>
      <w:tr w:rsidR="001D4E87" w:rsidRPr="00AD3D34" w14:paraId="67F117E8" w14:textId="77777777" w:rsidTr="00C50AA7">
        <w:trPr>
          <w:trHeight w:val="282"/>
        </w:trPr>
        <w:tc>
          <w:tcPr>
            <w:tcW w:w="566" w:type="dxa"/>
            <w:shd w:val="clear" w:color="auto" w:fill="auto"/>
          </w:tcPr>
          <w:p w14:paraId="28CCB196" w14:textId="77777777" w:rsidR="001D4E87" w:rsidRPr="00AD3D34" w:rsidRDefault="001D4E87" w:rsidP="001D4E87">
            <w:pPr>
              <w:spacing w:line="288" w:lineRule="auto"/>
              <w:jc w:val="center"/>
            </w:pPr>
            <w:r w:rsidRPr="00AD3D34">
              <w:t>3.</w:t>
            </w:r>
          </w:p>
        </w:tc>
        <w:tc>
          <w:tcPr>
            <w:tcW w:w="9607" w:type="dxa"/>
          </w:tcPr>
          <w:p w14:paraId="4FC587A1" w14:textId="77777777" w:rsidR="001D4E87" w:rsidRPr="00AD3D34" w:rsidRDefault="001D4E87" w:rsidP="001D4E87">
            <w:pPr>
              <w:spacing w:line="288" w:lineRule="auto"/>
              <w:ind w:left="-108"/>
              <w:jc w:val="both"/>
              <w:rPr>
                <w:bCs/>
              </w:rPr>
            </w:pPr>
            <w:r w:rsidRPr="00AD3D34">
              <w:rPr>
                <w:bCs/>
              </w:rPr>
              <w:t xml:space="preserve">Правовая и информационная основа внешней проверки   </w:t>
            </w:r>
            <w:r w:rsidRPr="00AD3D34">
              <w:t>…………</w:t>
            </w:r>
            <w:proofErr w:type="gramStart"/>
            <w:r w:rsidRPr="00AD3D34">
              <w:t>…….</w:t>
            </w:r>
            <w:proofErr w:type="gramEnd"/>
            <w:r w:rsidRPr="00AD3D34">
              <w:t>.…...5</w:t>
            </w:r>
          </w:p>
        </w:tc>
      </w:tr>
      <w:tr w:rsidR="001D4E87" w:rsidRPr="00AD3D34" w14:paraId="3035A887" w14:textId="77777777" w:rsidTr="00C50AA7">
        <w:trPr>
          <w:trHeight w:val="282"/>
        </w:trPr>
        <w:tc>
          <w:tcPr>
            <w:tcW w:w="566" w:type="dxa"/>
            <w:shd w:val="clear" w:color="auto" w:fill="auto"/>
          </w:tcPr>
          <w:p w14:paraId="272F191E" w14:textId="77777777" w:rsidR="001D4E87" w:rsidRPr="00AD3D34" w:rsidRDefault="001D4E87" w:rsidP="001D4E87">
            <w:pPr>
              <w:spacing w:line="288" w:lineRule="auto"/>
            </w:pPr>
            <w:r w:rsidRPr="00AD3D34">
              <w:t xml:space="preserve"> 4.</w:t>
            </w:r>
          </w:p>
        </w:tc>
        <w:tc>
          <w:tcPr>
            <w:tcW w:w="9607" w:type="dxa"/>
          </w:tcPr>
          <w:p w14:paraId="54E354B6" w14:textId="77777777" w:rsidR="001D4E87" w:rsidRPr="00AD3D34" w:rsidRDefault="001D4E87" w:rsidP="00B14B2E">
            <w:pPr>
              <w:spacing w:line="288" w:lineRule="auto"/>
              <w:ind w:left="-108"/>
              <w:jc w:val="both"/>
              <w:rPr>
                <w:bCs/>
              </w:rPr>
            </w:pPr>
            <w:r w:rsidRPr="00AD3D34">
              <w:rPr>
                <w:bCs/>
              </w:rPr>
              <w:t>Организация внешней проверки……………………………………………</w:t>
            </w:r>
            <w:proofErr w:type="gramStart"/>
            <w:r w:rsidRPr="00AD3D34">
              <w:rPr>
                <w:bCs/>
              </w:rPr>
              <w:t>…...</w:t>
            </w:r>
            <w:r w:rsidRPr="00AD3D34">
              <w:t>.</w:t>
            </w:r>
            <w:proofErr w:type="gramEnd"/>
            <w:r w:rsidRPr="00AD3D34">
              <w:t>.7</w:t>
            </w:r>
          </w:p>
        </w:tc>
      </w:tr>
      <w:tr w:rsidR="00DE6658" w:rsidRPr="00AD3D34" w14:paraId="176EF3C2" w14:textId="77777777" w:rsidTr="00C50AA7">
        <w:trPr>
          <w:trHeight w:val="282"/>
        </w:trPr>
        <w:tc>
          <w:tcPr>
            <w:tcW w:w="566" w:type="dxa"/>
            <w:shd w:val="clear" w:color="auto" w:fill="auto"/>
          </w:tcPr>
          <w:p w14:paraId="158F17CA" w14:textId="77777777" w:rsidR="00DE6658" w:rsidRPr="00AD3D34" w:rsidRDefault="001D4E87" w:rsidP="00882226">
            <w:pPr>
              <w:spacing w:line="288" w:lineRule="auto"/>
              <w:jc w:val="center"/>
            </w:pPr>
            <w:r w:rsidRPr="00AD3D34">
              <w:t>5</w:t>
            </w:r>
            <w:r w:rsidR="00DE6658" w:rsidRPr="00AD3D34">
              <w:t>.</w:t>
            </w:r>
            <w:r w:rsidRPr="00AD3D34">
              <w:t xml:space="preserve">    </w:t>
            </w:r>
          </w:p>
        </w:tc>
        <w:tc>
          <w:tcPr>
            <w:tcW w:w="9607" w:type="dxa"/>
          </w:tcPr>
          <w:p w14:paraId="2D906492" w14:textId="77777777" w:rsidR="00DE6658" w:rsidRPr="00AD3D34" w:rsidRDefault="001D4E87" w:rsidP="00A01D5F">
            <w:pPr>
              <w:spacing w:line="288" w:lineRule="auto"/>
              <w:ind w:left="-108"/>
              <w:jc w:val="both"/>
            </w:pPr>
            <w:r w:rsidRPr="00AD3D34">
              <w:t>Содержание внешней проверки……………………………………………</w:t>
            </w:r>
            <w:proofErr w:type="gramStart"/>
            <w:r w:rsidRPr="00AD3D34">
              <w:t>…….</w:t>
            </w:r>
            <w:proofErr w:type="gramEnd"/>
            <w:r w:rsidRPr="00AD3D34">
              <w:t>.8</w:t>
            </w:r>
          </w:p>
        </w:tc>
      </w:tr>
      <w:tr w:rsidR="00DE6658" w:rsidRPr="00AD3D34" w14:paraId="3481E498" w14:textId="77777777" w:rsidTr="00C50AA7">
        <w:tc>
          <w:tcPr>
            <w:tcW w:w="566" w:type="dxa"/>
            <w:shd w:val="clear" w:color="auto" w:fill="auto"/>
          </w:tcPr>
          <w:p w14:paraId="168A0E3B" w14:textId="77777777" w:rsidR="00DE6658" w:rsidRPr="00AD3D34" w:rsidRDefault="00181DCC" w:rsidP="00882226">
            <w:pPr>
              <w:spacing w:line="288" w:lineRule="auto"/>
              <w:jc w:val="center"/>
            </w:pPr>
            <w:r w:rsidRPr="00AD3D34">
              <w:t>6</w:t>
            </w:r>
            <w:r w:rsidR="00DE6658" w:rsidRPr="00AD3D34">
              <w:t>.</w:t>
            </w:r>
          </w:p>
        </w:tc>
        <w:tc>
          <w:tcPr>
            <w:tcW w:w="9607" w:type="dxa"/>
            <w:vAlign w:val="bottom"/>
          </w:tcPr>
          <w:p w14:paraId="49509C1D" w14:textId="77777777" w:rsidR="00DE6658" w:rsidRPr="00AD3D34" w:rsidRDefault="001D4E87" w:rsidP="001D4E87">
            <w:pPr>
              <w:spacing w:line="288" w:lineRule="auto"/>
              <w:ind w:left="-108"/>
              <w:jc w:val="both"/>
            </w:pPr>
            <w:r w:rsidRPr="00AD3D34">
              <w:rPr>
                <w:bCs/>
              </w:rPr>
              <w:t>Подготовка заключения по результатам внешней проверки…………</w:t>
            </w:r>
            <w:proofErr w:type="gramStart"/>
            <w:r w:rsidRPr="00AD3D34">
              <w:rPr>
                <w:bCs/>
              </w:rPr>
              <w:t>…….</w:t>
            </w:r>
            <w:proofErr w:type="gramEnd"/>
            <w:r w:rsidR="00DE6658" w:rsidRPr="00AD3D34">
              <w:t>….1</w:t>
            </w:r>
            <w:r w:rsidRPr="00AD3D34">
              <w:t>0</w:t>
            </w:r>
          </w:p>
        </w:tc>
      </w:tr>
      <w:tr w:rsidR="00181DCC" w:rsidRPr="00AD3D34" w14:paraId="2D4F944E" w14:textId="77777777" w:rsidTr="00C50AA7">
        <w:tc>
          <w:tcPr>
            <w:tcW w:w="566" w:type="dxa"/>
            <w:shd w:val="clear" w:color="auto" w:fill="auto"/>
          </w:tcPr>
          <w:p w14:paraId="762B6FCF" w14:textId="77777777" w:rsidR="00181DCC" w:rsidRPr="00AD3D34" w:rsidRDefault="00181DCC" w:rsidP="00882226">
            <w:pPr>
              <w:spacing w:line="288" w:lineRule="auto"/>
              <w:jc w:val="center"/>
            </w:pPr>
            <w:r w:rsidRPr="00AD3D34">
              <w:t>7.</w:t>
            </w:r>
          </w:p>
        </w:tc>
        <w:tc>
          <w:tcPr>
            <w:tcW w:w="9607" w:type="dxa"/>
            <w:vAlign w:val="bottom"/>
          </w:tcPr>
          <w:p w14:paraId="7B6D5B2C" w14:textId="77777777" w:rsidR="00181DCC" w:rsidRPr="00AD3D34" w:rsidRDefault="00181DCC" w:rsidP="001D4E87">
            <w:pPr>
              <w:spacing w:line="288" w:lineRule="auto"/>
              <w:ind w:left="-108"/>
              <w:jc w:val="both"/>
              <w:rPr>
                <w:bCs/>
              </w:rPr>
            </w:pPr>
            <w:r w:rsidRPr="00AD3D34">
              <w:rPr>
                <w:bCs/>
              </w:rPr>
              <w:t>Порядок рассмотрения и направления результатов внешней проверки………11</w:t>
            </w:r>
          </w:p>
        </w:tc>
      </w:tr>
    </w:tbl>
    <w:p w14:paraId="60F94EC6" w14:textId="77777777" w:rsidR="001E16A3" w:rsidRPr="00AD3D34" w:rsidRDefault="001E16A3">
      <w:pPr>
        <w:spacing w:after="200" w:line="276" w:lineRule="auto"/>
        <w:rPr>
          <w:b/>
        </w:rPr>
      </w:pPr>
      <w:r w:rsidRPr="00AD3D34">
        <w:rPr>
          <w:b/>
        </w:rPr>
        <w:br w:type="page"/>
      </w:r>
    </w:p>
    <w:p w14:paraId="574FE4FC" w14:textId="77777777" w:rsidR="00C50AA7" w:rsidRPr="00AD3D34" w:rsidRDefault="00C50AA7" w:rsidP="001E16A3"/>
    <w:p w14:paraId="2F107655" w14:textId="77777777" w:rsidR="00DE6FC2" w:rsidRPr="00AD3D34" w:rsidRDefault="00EC5AA8" w:rsidP="00DE6658">
      <w:pPr>
        <w:pStyle w:val="11"/>
        <w:numPr>
          <w:ilvl w:val="0"/>
          <w:numId w:val="5"/>
        </w:numPr>
        <w:spacing w:line="24" w:lineRule="atLeast"/>
        <w:rPr>
          <w:rStyle w:val="a4"/>
        </w:rPr>
      </w:pPr>
      <w:r w:rsidRPr="00AD3D34">
        <w:rPr>
          <w:rStyle w:val="a4"/>
        </w:rPr>
        <w:t>Общие положения</w:t>
      </w:r>
      <w:bookmarkEnd w:id="0"/>
      <w:bookmarkEnd w:id="1"/>
      <w:bookmarkEnd w:id="2"/>
      <w:bookmarkEnd w:id="3"/>
      <w:bookmarkEnd w:id="4"/>
      <w:bookmarkEnd w:id="5"/>
    </w:p>
    <w:p w14:paraId="25986C1A" w14:textId="77777777" w:rsidR="00DE6658" w:rsidRPr="00AD3D34" w:rsidRDefault="00DE6658" w:rsidP="00DE6658"/>
    <w:p w14:paraId="6377F763" w14:textId="2C50B383" w:rsidR="004024FB" w:rsidRPr="00AD3D34" w:rsidRDefault="004024FB" w:rsidP="004024FB">
      <w:pPr>
        <w:numPr>
          <w:ilvl w:val="1"/>
          <w:numId w:val="6"/>
        </w:numPr>
        <w:suppressAutoHyphens/>
        <w:spacing w:line="288" w:lineRule="auto"/>
        <w:jc w:val="both"/>
      </w:pPr>
      <w:r w:rsidRPr="00AD3D34">
        <w:t xml:space="preserve">Стандарт внешнего государственного финансового контроля «Организация и проведение внешней проверки годового отчета об исполнении  бюджета Территориального фонда обязательного страхования Ульяновской области» (далее – Стандарт) разработан в соответствии с Бюджетным Кодексом Российской Федерации, Федеральным законом от 7 февраля 2011 г. № 6-ФЗ «Об общих принципах организации и деятельности контрольно-счетных органов субъектов </w:t>
      </w:r>
      <w:bookmarkStart w:id="6" w:name="_Hlk150504277"/>
      <w:r w:rsidR="00FA3215" w:rsidRPr="00AD3D34">
        <w:rPr>
          <w:rFonts w:ascii="PT Astra Serif" w:hAnsi="PT Astra Serif"/>
        </w:rPr>
        <w:t>Российской Федерации,</w:t>
      </w:r>
      <w:r w:rsidR="00FA3215" w:rsidRPr="00AD3D34">
        <w:rPr>
          <w:rFonts w:ascii="PT Astra Serif" w:hAnsi="PT Astra Serif"/>
          <w:color w:val="22272F"/>
        </w:rPr>
        <w:t xml:space="preserve"> федеральных территорий</w:t>
      </w:r>
      <w:bookmarkEnd w:id="6"/>
      <w:r w:rsidR="00FA3215" w:rsidRPr="00AD3D34">
        <w:rPr>
          <w:rFonts w:ascii="PT Astra Serif" w:hAnsi="PT Astra Serif"/>
        </w:rPr>
        <w:t xml:space="preserve"> </w:t>
      </w:r>
      <w:r w:rsidRPr="00AD3D34">
        <w:t xml:space="preserve">и муниципальных образований», Законом Ульяновской области «О Счетной палате Ульяновской области», </w:t>
      </w:r>
      <w:hyperlink r:id="rId7" w:history="1">
        <w:r w:rsidRPr="00AD3D34">
          <w:t>Общими требования</w:t>
        </w:r>
      </w:hyperlink>
      <w:r w:rsidRPr="00AD3D34">
        <w:t>ми к стандартам внешнего государственного и муниципального контроля для проведения контрольных и экспертно-аналитических мероприятий КСО субъектов Российской Федерации и муниципальных образований, утвержденными Коллегией Счетной палаты РФ (протокол от 17 октября 2014 г. № 47К (993). Стандарт применяется с учетом:</w:t>
      </w:r>
    </w:p>
    <w:p w14:paraId="0C5A77EB" w14:textId="77777777" w:rsidR="004024FB" w:rsidRPr="00AD3D34" w:rsidRDefault="004024FB" w:rsidP="004024F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Федерального закона от 06.12.2011 № 402-ФЗ «О бухгалтерском учете»;</w:t>
      </w:r>
    </w:p>
    <w:p w14:paraId="05B73BE1" w14:textId="77777777" w:rsidR="004024FB" w:rsidRPr="00AD3D34" w:rsidRDefault="004024FB" w:rsidP="004024F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</w:r>
    </w:p>
    <w:p w14:paraId="6180E17B" w14:textId="77777777" w:rsidR="004024FB" w:rsidRPr="00AD3D34" w:rsidRDefault="004024FB" w:rsidP="004024F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 xml:space="preserve">Закона Ульяновской области от 02.10.2012 №123-ЗО «Об особенностях </w:t>
      </w:r>
      <w:proofErr w:type="gramStart"/>
      <w:r w:rsidRPr="00AD3D34">
        <w:t>бюджетного  процесса</w:t>
      </w:r>
      <w:proofErr w:type="gramEnd"/>
      <w:r w:rsidRPr="00AD3D34">
        <w:t xml:space="preserve"> в  Ульяновской области».</w:t>
      </w:r>
    </w:p>
    <w:p w14:paraId="2857151C" w14:textId="77777777" w:rsidR="004024FB" w:rsidRPr="00AD3D34" w:rsidRDefault="004024FB" w:rsidP="004024FB">
      <w:pPr>
        <w:numPr>
          <w:ilvl w:val="1"/>
          <w:numId w:val="6"/>
        </w:numPr>
        <w:suppressAutoHyphens/>
        <w:spacing w:line="288" w:lineRule="auto"/>
        <w:jc w:val="both"/>
      </w:pPr>
      <w:r w:rsidRPr="00AD3D34">
        <w:t xml:space="preserve">Стандарт устанавливает нормативные положения для организации и проведения внешней проверки годового отчета об исполнении  бюджета Территориального фонда обязательного </w:t>
      </w:r>
      <w:r w:rsidR="007A351C" w:rsidRPr="00AD3D34">
        <w:t xml:space="preserve">медицинского </w:t>
      </w:r>
      <w:r w:rsidRPr="00AD3D34">
        <w:t xml:space="preserve">страхования Ульяновской области   за отчетный финансовый год (далее – бюджет ТФОМС), включая внешнюю проверку годовой </w:t>
      </w:r>
      <w:r w:rsidRPr="00AD3D34">
        <w:rPr>
          <w:rFonts w:eastAsia="Calibri"/>
        </w:rPr>
        <w:t xml:space="preserve">бюджетной отчетности и подготовку заключения Счетной палатой Ульяновской области (далее - Счётная палата) на годовой отчет об исполнении </w:t>
      </w:r>
      <w:r w:rsidRPr="00AD3D34">
        <w:t xml:space="preserve">  бюджета Территориального фонда обязательного страхования Ульяновской области за отчетный финансовый год (далее – заключение Счетной палаты  на годовой отчет об исполнении бюджета ТФОМС или заключение)</w:t>
      </w:r>
      <w:r w:rsidRPr="00AD3D34">
        <w:rPr>
          <w:rFonts w:eastAsia="Calibri"/>
        </w:rPr>
        <w:t>.</w:t>
      </w:r>
    </w:p>
    <w:p w14:paraId="2FD19C74" w14:textId="77777777" w:rsidR="00FB5404" w:rsidRPr="00AD3D34" w:rsidRDefault="00FB5404" w:rsidP="00FB5404">
      <w:pPr>
        <w:numPr>
          <w:ilvl w:val="1"/>
          <w:numId w:val="6"/>
        </w:numPr>
        <w:suppressAutoHyphens/>
        <w:spacing w:line="288" w:lineRule="auto"/>
        <w:jc w:val="both"/>
      </w:pPr>
      <w:r w:rsidRPr="00AD3D34">
        <w:t xml:space="preserve">Целью Стандарта является установление общих правил и процедур проведения внешней проверки годового отчёта на всех его этапах, в том числе единых организационно-правовых, методических, информационных основ проведения комплекса контрольных и экспертно-аналитических мероприятий и подготовки заключения Счетной палаты  на годовой отчет об </w:t>
      </w:r>
      <w:r w:rsidRPr="00AD3D34">
        <w:lastRenderedPageBreak/>
        <w:t>исполнении бюджета ТФОМС в соответствии с требованиями действующего законодательства.</w:t>
      </w:r>
    </w:p>
    <w:p w14:paraId="176BDA58" w14:textId="77777777" w:rsidR="00FB5404" w:rsidRPr="00AD3D34" w:rsidRDefault="00FB5404" w:rsidP="00FB5404">
      <w:pPr>
        <w:numPr>
          <w:ilvl w:val="1"/>
          <w:numId w:val="6"/>
        </w:numPr>
        <w:suppressAutoHyphens/>
        <w:spacing w:line="288" w:lineRule="auto"/>
        <w:jc w:val="both"/>
      </w:pPr>
      <w:r w:rsidRPr="00AD3D34">
        <w:t>Задачами Стандарта являются:</w:t>
      </w:r>
    </w:p>
    <w:p w14:paraId="1FA43165" w14:textId="77777777" w:rsidR="00FB5404" w:rsidRPr="00AD3D34" w:rsidRDefault="00FB5404" w:rsidP="00FB5404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определение целей, задач, предмета и объектов внешней проверки;</w:t>
      </w:r>
    </w:p>
    <w:p w14:paraId="7907B7D8" w14:textId="77777777" w:rsidR="00FB5404" w:rsidRPr="00AD3D34" w:rsidRDefault="00FB5404" w:rsidP="00FB5404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определение источников информации для проведения внешней проверки;</w:t>
      </w:r>
    </w:p>
    <w:p w14:paraId="3824D69A" w14:textId="77777777" w:rsidR="00FB5404" w:rsidRPr="00AD3D34" w:rsidRDefault="00FB5404" w:rsidP="00FB5404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 xml:space="preserve">установление основных этапов организации и проведения внешней проверки; </w:t>
      </w:r>
    </w:p>
    <w:p w14:paraId="7849929B" w14:textId="77777777" w:rsidR="00FB5404" w:rsidRPr="00AD3D34" w:rsidRDefault="00FB5404" w:rsidP="00FB5404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 xml:space="preserve">установление требований к структуре и содержанию </w:t>
      </w:r>
      <w:proofErr w:type="gramStart"/>
      <w:r w:rsidRPr="00AD3D34">
        <w:t>заключений  по</w:t>
      </w:r>
      <w:proofErr w:type="gramEnd"/>
      <w:r w:rsidRPr="00AD3D34">
        <w:t xml:space="preserve"> результатам внешней проверки годовой бюджетной отчетности и на годовой отчет об исполнении бюджета ТФОМС;</w:t>
      </w:r>
    </w:p>
    <w:p w14:paraId="398A3B25" w14:textId="77777777" w:rsidR="00FB5404" w:rsidRPr="00AD3D34" w:rsidRDefault="00FB5404" w:rsidP="00FB5404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установление требований к оформлению результатов внешней проверки;</w:t>
      </w:r>
    </w:p>
    <w:p w14:paraId="070BD795" w14:textId="77777777" w:rsidR="00FB5404" w:rsidRPr="00AD3D34" w:rsidRDefault="00FB5404" w:rsidP="00FB5404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firstLine="0"/>
      </w:pPr>
      <w:proofErr w:type="gramStart"/>
      <w:r w:rsidRPr="00AD3D34">
        <w:t>установление  порядка</w:t>
      </w:r>
      <w:proofErr w:type="gramEnd"/>
      <w:r w:rsidRPr="00AD3D34">
        <w:t xml:space="preserve"> рассмотрения и утверждения заключения Счетной палаты  на годовой отчет об исполнении бюджета ТФОМС, представления его Законодательному Собранию Ульяновской области и Правительству Ульяновской области.   </w:t>
      </w:r>
    </w:p>
    <w:p w14:paraId="6C5A1A23" w14:textId="77777777" w:rsidR="00FB5404" w:rsidRPr="00AD3D34" w:rsidRDefault="00FB5404" w:rsidP="00FB5404">
      <w:pPr>
        <w:numPr>
          <w:ilvl w:val="1"/>
          <w:numId w:val="6"/>
        </w:numPr>
        <w:suppressAutoHyphens/>
        <w:spacing w:line="288" w:lineRule="auto"/>
        <w:jc w:val="both"/>
      </w:pPr>
      <w:r w:rsidRPr="00AD3D34">
        <w:t>Стандарт регулирует особенности подготовки, проведения и использования результатов внешней проверки, включая специальные требования к форме и срокам ее проведения, составу объектов внешней проверки, способам получения необходимой информации и материалов, содержанию формируемых в ходе внешней проверки документов.</w:t>
      </w:r>
    </w:p>
    <w:p w14:paraId="57A99498" w14:textId="77777777" w:rsidR="00EC5AA8" w:rsidRPr="00AD3D34" w:rsidRDefault="00FB5404" w:rsidP="00FB5404">
      <w:pPr>
        <w:pStyle w:val="a7"/>
        <w:numPr>
          <w:ilvl w:val="1"/>
          <w:numId w:val="6"/>
        </w:numPr>
        <w:suppressAutoHyphens/>
        <w:spacing w:line="288" w:lineRule="auto"/>
        <w:jc w:val="both"/>
      </w:pPr>
      <w:r w:rsidRPr="00AD3D34">
        <w:t>В</w:t>
      </w:r>
      <w:r w:rsidR="00EC5AA8" w:rsidRPr="00AD3D34">
        <w:t>нешн</w:t>
      </w:r>
      <w:r w:rsidRPr="00AD3D34">
        <w:t>яя</w:t>
      </w:r>
      <w:r w:rsidR="00EC5AA8" w:rsidRPr="00AD3D34">
        <w:t xml:space="preserve"> проверк</w:t>
      </w:r>
      <w:r w:rsidRPr="00AD3D34">
        <w:t>а</w:t>
      </w:r>
      <w:r w:rsidR="00EC5AA8" w:rsidRPr="00AD3D34">
        <w:t xml:space="preserve"> годового отчета об исполнении бюджета ТФОМС</w:t>
      </w:r>
      <w:r w:rsidRPr="00AD3D34">
        <w:rPr>
          <w:rFonts w:eastAsia="Calibri"/>
        </w:rPr>
        <w:t xml:space="preserve"> и подготовка заключения на годовой отчет об исполнении </w:t>
      </w:r>
      <w:r w:rsidRPr="00AD3D34">
        <w:t xml:space="preserve">  бюджета ТФОМС за отчетный финансовый год</w:t>
      </w:r>
      <w:r w:rsidR="00EC5AA8" w:rsidRPr="00AD3D34">
        <w:t xml:space="preserve"> осуществляются</w:t>
      </w:r>
      <w:r w:rsidR="00D52B6C" w:rsidRPr="00AD3D34">
        <w:t xml:space="preserve"> </w:t>
      </w:r>
      <w:r w:rsidR="00EC5AA8" w:rsidRPr="00AD3D34">
        <w:t xml:space="preserve">должностными лицами </w:t>
      </w:r>
      <w:r w:rsidRPr="00AD3D34">
        <w:t>Счетной палаты</w:t>
      </w:r>
      <w:r w:rsidR="00EC5AA8" w:rsidRPr="00AD3D34">
        <w:t>, за которыми закреплено данное направление деятельности.</w:t>
      </w:r>
    </w:p>
    <w:p w14:paraId="1FB66A01" w14:textId="77777777" w:rsidR="008C0473" w:rsidRPr="00AD3D34" w:rsidRDefault="008C0473" w:rsidP="008C0473">
      <w:pPr>
        <w:suppressAutoHyphens/>
        <w:spacing w:line="288" w:lineRule="auto"/>
        <w:ind w:left="1"/>
        <w:jc w:val="both"/>
      </w:pPr>
    </w:p>
    <w:p w14:paraId="340D7996" w14:textId="77777777" w:rsidR="00DE0F9B" w:rsidRPr="00AD3D34" w:rsidRDefault="00DE0F9B" w:rsidP="00DE0F9B">
      <w:pPr>
        <w:pStyle w:val="1"/>
        <w:numPr>
          <w:ilvl w:val="0"/>
          <w:numId w:val="6"/>
        </w:numPr>
        <w:suppressAutoHyphens/>
        <w:spacing w:before="0" w:after="0" w:line="288" w:lineRule="auto"/>
      </w:pPr>
      <w:bookmarkStart w:id="7" w:name="_Toc423596218"/>
      <w:r w:rsidRPr="00AD3D34">
        <w:t>Цель, задачи, предмет и объекты внешней проверки</w:t>
      </w:r>
      <w:bookmarkEnd w:id="7"/>
    </w:p>
    <w:p w14:paraId="03FE4570" w14:textId="77777777" w:rsidR="008C0473" w:rsidRPr="00AD3D34" w:rsidRDefault="008C0473" w:rsidP="008C0473"/>
    <w:p w14:paraId="4CBA9A46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color w:val="auto"/>
          <w:sz w:val="28"/>
          <w:szCs w:val="28"/>
        </w:rPr>
      </w:pPr>
      <w:r w:rsidRPr="00AD3D34">
        <w:rPr>
          <w:color w:val="auto"/>
          <w:sz w:val="28"/>
          <w:szCs w:val="28"/>
        </w:rPr>
        <w:t>2.</w:t>
      </w:r>
      <w:r w:rsidR="008C0473" w:rsidRPr="00AD3D34">
        <w:rPr>
          <w:color w:val="auto"/>
          <w:sz w:val="28"/>
          <w:szCs w:val="28"/>
        </w:rPr>
        <w:t>1</w:t>
      </w:r>
      <w:r w:rsidRPr="00AD3D34">
        <w:rPr>
          <w:color w:val="auto"/>
          <w:sz w:val="28"/>
          <w:szCs w:val="28"/>
        </w:rPr>
        <w:t xml:space="preserve">. Целями внешней проверки отчета об исполнении бюджета ТФОМС </w:t>
      </w:r>
      <w:r w:rsidRPr="00AD3D34">
        <w:rPr>
          <w:bCs/>
          <w:color w:val="auto"/>
          <w:sz w:val="28"/>
          <w:szCs w:val="28"/>
        </w:rPr>
        <w:t xml:space="preserve">являются контроль достоверности годового отчета об исполнении бюджета </w:t>
      </w:r>
      <w:r w:rsidRPr="00AD3D34">
        <w:rPr>
          <w:color w:val="auto"/>
          <w:sz w:val="28"/>
          <w:szCs w:val="28"/>
        </w:rPr>
        <w:t>ТФОМС</w:t>
      </w:r>
      <w:r w:rsidRPr="00AD3D34">
        <w:rPr>
          <w:bCs/>
          <w:color w:val="auto"/>
          <w:sz w:val="28"/>
          <w:szCs w:val="28"/>
        </w:rPr>
        <w:t xml:space="preserve">, установление законности и результативности деятельности по исполнению бюджета </w:t>
      </w:r>
      <w:r w:rsidRPr="00AD3D34">
        <w:rPr>
          <w:color w:val="auto"/>
          <w:sz w:val="28"/>
          <w:szCs w:val="28"/>
        </w:rPr>
        <w:t xml:space="preserve">ТФОМ </w:t>
      </w:r>
      <w:r w:rsidRPr="00AD3D34">
        <w:rPr>
          <w:bCs/>
          <w:color w:val="auto"/>
          <w:sz w:val="28"/>
          <w:szCs w:val="28"/>
        </w:rPr>
        <w:t>в отчетном финансовом году</w:t>
      </w:r>
      <w:r w:rsidRPr="00AD3D34">
        <w:rPr>
          <w:color w:val="auto"/>
          <w:sz w:val="28"/>
          <w:szCs w:val="28"/>
        </w:rPr>
        <w:t>.</w:t>
      </w:r>
    </w:p>
    <w:p w14:paraId="2DBD5F4D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color w:val="auto"/>
          <w:sz w:val="28"/>
          <w:szCs w:val="28"/>
        </w:rPr>
      </w:pPr>
      <w:r w:rsidRPr="00AD3D34">
        <w:rPr>
          <w:color w:val="auto"/>
          <w:sz w:val="28"/>
          <w:szCs w:val="28"/>
        </w:rPr>
        <w:t>2.</w:t>
      </w:r>
      <w:r w:rsidR="008C0473" w:rsidRPr="00AD3D34">
        <w:rPr>
          <w:color w:val="auto"/>
          <w:sz w:val="28"/>
          <w:szCs w:val="28"/>
        </w:rPr>
        <w:t>2</w:t>
      </w:r>
      <w:r w:rsidRPr="00AD3D34">
        <w:rPr>
          <w:color w:val="auto"/>
          <w:sz w:val="28"/>
          <w:szCs w:val="28"/>
        </w:rPr>
        <w:t>. Задачами внешней проверки годового отчета об исполнении бюджета ТФОМС являются:</w:t>
      </w:r>
    </w:p>
    <w:p w14:paraId="54FDC7B7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  <w:lang w:bidi="ru-RU"/>
        </w:rPr>
      </w:pPr>
      <w:r w:rsidRPr="00AD3D34">
        <w:rPr>
          <w:sz w:val="28"/>
          <w:szCs w:val="28"/>
          <w:lang w:bidi="ru-RU"/>
        </w:rPr>
        <w:t xml:space="preserve">- проверка достоверности, полноты и соответствия нормативным правовым требованиям составления и представления бюджетной отчетности ТФОМС, в том числе выявление нарушений, отклонений, недостатков, причин их возникновения и факторов, способных повлиять на их </w:t>
      </w:r>
      <w:r w:rsidRPr="00AD3D34">
        <w:rPr>
          <w:sz w:val="28"/>
          <w:szCs w:val="28"/>
          <w:lang w:bidi="ru-RU"/>
        </w:rPr>
        <w:lastRenderedPageBreak/>
        <w:t>достоверность;</w:t>
      </w:r>
    </w:p>
    <w:p w14:paraId="26E3A0E8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  <w:lang w:bidi="ru-RU"/>
        </w:rPr>
      </w:pPr>
      <w:r w:rsidRPr="00AD3D34">
        <w:rPr>
          <w:sz w:val="28"/>
          <w:szCs w:val="28"/>
          <w:lang w:bidi="ru-RU"/>
        </w:rPr>
        <w:t>- оценка реализации бюджетных полномочий ТФОМС в установленной сфере деятельности и выполнения требований законодательства при организации исполнения бюджета ТФОМС;</w:t>
      </w:r>
    </w:p>
    <w:p w14:paraId="05A0AD91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  <w:lang w:bidi="ru-RU"/>
        </w:rPr>
      </w:pPr>
      <w:r w:rsidRPr="00AD3D34">
        <w:rPr>
          <w:sz w:val="28"/>
          <w:szCs w:val="28"/>
          <w:lang w:bidi="ru-RU"/>
        </w:rPr>
        <w:t>- оценка формирования и исполнения бюджетных назначений и иных показателей, установленных законом о бюджете ТФОМС</w:t>
      </w:r>
      <w:r w:rsidRPr="00AD3D34">
        <w:rPr>
          <w:color w:val="auto"/>
          <w:sz w:val="28"/>
          <w:szCs w:val="28"/>
        </w:rPr>
        <w:t xml:space="preserve">, в том числе доходов, расходов и дефицита (профицита) </w:t>
      </w:r>
      <w:r w:rsidRPr="00AD3D34">
        <w:rPr>
          <w:sz w:val="28"/>
          <w:szCs w:val="28"/>
          <w:lang w:bidi="ru-RU"/>
        </w:rPr>
        <w:t>бюджета ТФОМС;</w:t>
      </w:r>
    </w:p>
    <w:p w14:paraId="002F3985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  <w:lang w:bidi="ru-RU"/>
        </w:rPr>
      </w:pPr>
      <w:r w:rsidRPr="00AD3D34">
        <w:rPr>
          <w:sz w:val="28"/>
          <w:szCs w:val="28"/>
          <w:lang w:bidi="ru-RU"/>
        </w:rPr>
        <w:t>- оценка полноты и своевременности устранения в отчетном финансовом году нарушений, установленных ранее;</w:t>
      </w:r>
    </w:p>
    <w:p w14:paraId="2EBE4C61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  <w:lang w:bidi="ru-RU"/>
        </w:rPr>
      </w:pPr>
      <w:r w:rsidRPr="00AD3D34">
        <w:rPr>
          <w:sz w:val="28"/>
          <w:szCs w:val="28"/>
          <w:lang w:bidi="ru-RU"/>
        </w:rPr>
        <w:t>- формирование выводов и предложений, в том числе определение направлений совершенствования использования имущества, ведения бюджетного учета и составления бюджетной отчетности.</w:t>
      </w:r>
    </w:p>
    <w:p w14:paraId="5584ED65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color w:val="auto"/>
          <w:sz w:val="28"/>
          <w:szCs w:val="28"/>
        </w:rPr>
      </w:pPr>
      <w:r w:rsidRPr="00AD3D34">
        <w:rPr>
          <w:sz w:val="28"/>
          <w:szCs w:val="28"/>
        </w:rPr>
        <w:t>2.</w:t>
      </w:r>
      <w:r w:rsidR="008C0473" w:rsidRPr="00AD3D34">
        <w:rPr>
          <w:sz w:val="28"/>
          <w:szCs w:val="28"/>
        </w:rPr>
        <w:t>3</w:t>
      </w:r>
      <w:r w:rsidRPr="00AD3D34">
        <w:rPr>
          <w:sz w:val="28"/>
          <w:szCs w:val="28"/>
        </w:rPr>
        <w:t xml:space="preserve">. Предметом </w:t>
      </w:r>
      <w:r w:rsidRPr="00AD3D34">
        <w:rPr>
          <w:color w:val="auto"/>
          <w:sz w:val="28"/>
          <w:szCs w:val="28"/>
        </w:rPr>
        <w:t xml:space="preserve">внешней проверки отчета об исполнении бюджета ТФОМС </w:t>
      </w:r>
      <w:r w:rsidRPr="00AD3D34">
        <w:rPr>
          <w:sz w:val="28"/>
          <w:szCs w:val="28"/>
        </w:rPr>
        <w:t xml:space="preserve">является годовой отчет об исполнении бюджета ТФОМС </w:t>
      </w:r>
      <w:r w:rsidRPr="00AD3D34">
        <w:rPr>
          <w:color w:val="auto"/>
          <w:sz w:val="28"/>
          <w:szCs w:val="28"/>
        </w:rPr>
        <w:t xml:space="preserve">и </w:t>
      </w:r>
      <w:r w:rsidRPr="00AD3D34">
        <w:rPr>
          <w:sz w:val="28"/>
          <w:szCs w:val="28"/>
        </w:rPr>
        <w:t xml:space="preserve">иная отчетность </w:t>
      </w:r>
      <w:r w:rsidRPr="00AD3D34">
        <w:rPr>
          <w:color w:val="auto"/>
          <w:sz w:val="28"/>
          <w:szCs w:val="28"/>
        </w:rPr>
        <w:t>з</w:t>
      </w:r>
      <w:r w:rsidRPr="00AD3D34">
        <w:rPr>
          <w:sz w:val="28"/>
          <w:szCs w:val="28"/>
        </w:rPr>
        <w:t>а отчетный финансовый год, представляемая одновременно с ним.</w:t>
      </w:r>
    </w:p>
    <w:p w14:paraId="679420D8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</w:rPr>
      </w:pPr>
      <w:r w:rsidRPr="00AD3D34">
        <w:rPr>
          <w:sz w:val="28"/>
          <w:szCs w:val="28"/>
        </w:rPr>
        <w:t>2.</w:t>
      </w:r>
      <w:r w:rsidR="008C0473" w:rsidRPr="00AD3D34">
        <w:rPr>
          <w:sz w:val="28"/>
          <w:szCs w:val="28"/>
        </w:rPr>
        <w:t>4</w:t>
      </w:r>
      <w:r w:rsidRPr="00AD3D34">
        <w:rPr>
          <w:sz w:val="28"/>
          <w:szCs w:val="28"/>
        </w:rPr>
        <w:t xml:space="preserve">. Объектами </w:t>
      </w:r>
      <w:r w:rsidRPr="00AD3D34">
        <w:rPr>
          <w:color w:val="auto"/>
          <w:sz w:val="28"/>
          <w:szCs w:val="28"/>
        </w:rPr>
        <w:t xml:space="preserve">внешней проверки годового отчета об исполнении бюджета ТФОМС </w:t>
      </w:r>
      <w:r w:rsidRPr="00AD3D34">
        <w:rPr>
          <w:sz w:val="28"/>
          <w:szCs w:val="28"/>
        </w:rPr>
        <w:t xml:space="preserve">являются ТФОМС (главный администратор бюджетных средств бюджета ТФОМС), а также при необходимости иные организации, участвующие в реализации территориальной программы государственных гарантий бесплатного оказания гражданам медицинской помощи (далее </w:t>
      </w:r>
      <w:proofErr w:type="spellStart"/>
      <w:r w:rsidRPr="00AD3D34">
        <w:rPr>
          <w:sz w:val="28"/>
          <w:szCs w:val="28"/>
        </w:rPr>
        <w:t>Терпрограмма</w:t>
      </w:r>
      <w:proofErr w:type="spellEnd"/>
      <w:r w:rsidRPr="00AD3D34">
        <w:rPr>
          <w:sz w:val="28"/>
          <w:szCs w:val="28"/>
        </w:rPr>
        <w:t>), в части средств бюджета ТФОМС</w:t>
      </w:r>
      <w:r w:rsidRPr="00AD3D34">
        <w:rPr>
          <w:color w:val="auto"/>
          <w:sz w:val="28"/>
          <w:szCs w:val="28"/>
        </w:rPr>
        <w:t>.</w:t>
      </w:r>
    </w:p>
    <w:p w14:paraId="38BCE08D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</w:rPr>
      </w:pPr>
      <w:r w:rsidRPr="00AD3D34">
        <w:rPr>
          <w:color w:val="auto"/>
          <w:sz w:val="28"/>
          <w:szCs w:val="28"/>
        </w:rPr>
        <w:t>2.</w:t>
      </w:r>
      <w:r w:rsidR="008C0473" w:rsidRPr="00AD3D34">
        <w:rPr>
          <w:color w:val="auto"/>
          <w:sz w:val="28"/>
          <w:szCs w:val="28"/>
        </w:rPr>
        <w:t>5</w:t>
      </w:r>
      <w:r w:rsidRPr="00AD3D34">
        <w:rPr>
          <w:color w:val="auto"/>
          <w:sz w:val="28"/>
          <w:szCs w:val="28"/>
        </w:rPr>
        <w:t>. </w:t>
      </w:r>
      <w:r w:rsidRPr="00AD3D34">
        <w:rPr>
          <w:sz w:val="28"/>
          <w:szCs w:val="28"/>
        </w:rPr>
        <w:t xml:space="preserve">Внешняя проверка отчета об исполнении бюджета ТФОМС может осуществляться </w:t>
      </w:r>
      <w:proofErr w:type="spellStart"/>
      <w:r w:rsidRPr="00AD3D34">
        <w:rPr>
          <w:sz w:val="28"/>
          <w:szCs w:val="28"/>
        </w:rPr>
        <w:t>камерально</w:t>
      </w:r>
      <w:proofErr w:type="spellEnd"/>
      <w:r w:rsidRPr="00AD3D34">
        <w:rPr>
          <w:sz w:val="28"/>
          <w:szCs w:val="28"/>
        </w:rPr>
        <w:t xml:space="preserve"> и с выходом на объект. </w:t>
      </w:r>
    </w:p>
    <w:p w14:paraId="40FF5225" w14:textId="77777777" w:rsidR="004517BD" w:rsidRPr="00AD3D34" w:rsidRDefault="004517BD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</w:rPr>
      </w:pPr>
    </w:p>
    <w:p w14:paraId="1DFF35E0" w14:textId="77777777" w:rsidR="00DE0F9B" w:rsidRPr="00AD3D34" w:rsidRDefault="00DE0F9B" w:rsidP="00DE0F9B">
      <w:pPr>
        <w:pStyle w:val="1"/>
        <w:numPr>
          <w:ilvl w:val="0"/>
          <w:numId w:val="6"/>
        </w:numPr>
        <w:suppressAutoHyphens/>
        <w:spacing w:before="0" w:after="0" w:line="288" w:lineRule="auto"/>
      </w:pPr>
      <w:bookmarkStart w:id="8" w:name="_Toc423596219"/>
      <w:r w:rsidRPr="00AD3D34">
        <w:t>Источники информации и сроки проведения внешней проверки</w:t>
      </w:r>
      <w:bookmarkEnd w:id="8"/>
    </w:p>
    <w:p w14:paraId="62C2A372" w14:textId="77777777" w:rsidR="004517BD" w:rsidRPr="00AD3D34" w:rsidRDefault="004517BD" w:rsidP="004517BD"/>
    <w:p w14:paraId="60053AC8" w14:textId="77777777" w:rsidR="00225416" w:rsidRPr="00AD3D34" w:rsidRDefault="00225416" w:rsidP="00225416">
      <w:pPr>
        <w:numPr>
          <w:ilvl w:val="1"/>
          <w:numId w:val="6"/>
        </w:numPr>
        <w:suppressAutoHyphens/>
        <w:spacing w:line="288" w:lineRule="auto"/>
        <w:jc w:val="both"/>
      </w:pPr>
      <w:r w:rsidRPr="00AD3D34">
        <w:t xml:space="preserve">Информационной основой проведения внешней проверки являются: </w:t>
      </w:r>
    </w:p>
    <w:p w14:paraId="43ACF9DA" w14:textId="77777777" w:rsidR="00225416" w:rsidRPr="00AD3D34" w:rsidRDefault="00225416" w:rsidP="00225416">
      <w:pPr>
        <w:pStyle w:val="Default"/>
        <w:widowControl w:val="0"/>
        <w:spacing w:line="24" w:lineRule="atLeast"/>
        <w:ind w:left="851"/>
        <w:jc w:val="both"/>
        <w:rPr>
          <w:sz w:val="28"/>
          <w:szCs w:val="28"/>
        </w:rPr>
      </w:pPr>
      <w:r w:rsidRPr="00AD3D34">
        <w:rPr>
          <w:sz w:val="28"/>
          <w:szCs w:val="28"/>
        </w:rPr>
        <w:t>- Федеральный закон от 29.11.2010 № 326-ФЗ «Об обязательном медицинском страховании в Российской Федерации»;</w:t>
      </w:r>
    </w:p>
    <w:p w14:paraId="5DF9E8F3" w14:textId="77777777" w:rsidR="00225416" w:rsidRPr="00AD3D34" w:rsidRDefault="00225416" w:rsidP="0022541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</w:rPr>
      </w:pPr>
      <w:r w:rsidRPr="00AD3D34">
        <w:rPr>
          <w:sz w:val="28"/>
          <w:szCs w:val="28"/>
        </w:rPr>
        <w:t>- Федеральный закон о бюджете Федерального фонда обязательного медицинского страхования на отчетный финансовый год;</w:t>
      </w:r>
    </w:p>
    <w:p w14:paraId="576A9A6D" w14:textId="77777777" w:rsidR="00DE0F9B" w:rsidRPr="00AD3D34" w:rsidRDefault="00DE0F9B" w:rsidP="00DE0F9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нормативные правовые акты Ульяновской области;</w:t>
      </w:r>
    </w:p>
    <w:p w14:paraId="2FB333DF" w14:textId="77777777" w:rsidR="00DE0F9B" w:rsidRPr="00AD3D34" w:rsidRDefault="00DE0F9B" w:rsidP="00DE0F9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 xml:space="preserve">закон Ульяновской области о   </w:t>
      </w:r>
      <w:proofErr w:type="gramStart"/>
      <w:r w:rsidRPr="00AD3D34">
        <w:t xml:space="preserve">бюджете  </w:t>
      </w:r>
      <w:r w:rsidR="005C4339" w:rsidRPr="00AD3D34">
        <w:t>ТФОМС</w:t>
      </w:r>
      <w:proofErr w:type="gramEnd"/>
      <w:r w:rsidR="005C4339" w:rsidRPr="00AD3D34">
        <w:t xml:space="preserve"> </w:t>
      </w:r>
      <w:r w:rsidRPr="00AD3D34">
        <w:t xml:space="preserve">  (далее – закон о бюджете</w:t>
      </w:r>
      <w:r w:rsidR="005C4339" w:rsidRPr="00AD3D34">
        <w:t xml:space="preserve"> ТФОМС</w:t>
      </w:r>
      <w:r w:rsidRPr="00AD3D34">
        <w:t>)  на отчетный финансовый год и на плановый период и законы  о внесении изменений в закон;</w:t>
      </w:r>
    </w:p>
    <w:p w14:paraId="08D9B78D" w14:textId="77777777" w:rsidR="00DE0F9B" w:rsidRPr="00AD3D34" w:rsidRDefault="00DE0F9B" w:rsidP="00DE0F9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годовая бюджетная отчетность ГАБС;</w:t>
      </w:r>
    </w:p>
    <w:p w14:paraId="23633EEB" w14:textId="77777777" w:rsidR="00DE0F9B" w:rsidRPr="00AD3D34" w:rsidRDefault="00DE0F9B" w:rsidP="00DE0F9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годовой отчет об исполнении бюджета</w:t>
      </w:r>
      <w:r w:rsidR="005C4339" w:rsidRPr="00AD3D34">
        <w:t xml:space="preserve"> ТФОМС</w:t>
      </w:r>
      <w:r w:rsidRPr="00AD3D34">
        <w:t>;</w:t>
      </w:r>
    </w:p>
    <w:p w14:paraId="317174AB" w14:textId="77777777" w:rsidR="00DE0F9B" w:rsidRPr="00AD3D34" w:rsidRDefault="00DE0F9B" w:rsidP="00DE0F9B">
      <w:pPr>
        <w:pStyle w:val="2"/>
        <w:numPr>
          <w:ilvl w:val="0"/>
          <w:numId w:val="7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AD3D34">
        <w:t>иная информация, полученная Счетной палатой в установленном порядке, и документы, характеризующие исполнение бюджета, в том числе данные оперативного (текущего) контроля хода исполнения бюджета за отчетный период.</w:t>
      </w:r>
    </w:p>
    <w:p w14:paraId="68959FE8" w14:textId="77777777" w:rsidR="00DE0F9B" w:rsidRPr="00AD3D34" w:rsidRDefault="00DE0F9B" w:rsidP="00DE0F9B">
      <w:pPr>
        <w:numPr>
          <w:ilvl w:val="1"/>
          <w:numId w:val="6"/>
        </w:numPr>
        <w:suppressAutoHyphens/>
        <w:spacing w:line="288" w:lineRule="auto"/>
        <w:jc w:val="both"/>
      </w:pPr>
      <w:r w:rsidRPr="00AD3D34">
        <w:lastRenderedPageBreak/>
        <w:t xml:space="preserve">Для дополнительного анализа и формирования выводов по итогам исполнения бюджета </w:t>
      </w:r>
      <w:r w:rsidR="005C4339" w:rsidRPr="00AD3D34">
        <w:t xml:space="preserve">ТФОМС </w:t>
      </w:r>
      <w:r w:rsidRPr="00AD3D34">
        <w:t>могут направляться запросы в органы государственной власти Ульяновской области, иные учреждения и организации, иным лицам.</w:t>
      </w:r>
    </w:p>
    <w:p w14:paraId="4F2474AD" w14:textId="77777777" w:rsidR="00DE0F9B" w:rsidRPr="00AD3D34" w:rsidRDefault="00DE0F9B" w:rsidP="00DE0F9B">
      <w:pPr>
        <w:numPr>
          <w:ilvl w:val="1"/>
          <w:numId w:val="6"/>
        </w:numPr>
        <w:tabs>
          <w:tab w:val="num" w:pos="-2340"/>
          <w:tab w:val="left" w:pos="1080"/>
        </w:tabs>
        <w:suppressAutoHyphens/>
        <w:spacing w:line="288" w:lineRule="auto"/>
        <w:jc w:val="both"/>
      </w:pPr>
      <w:r w:rsidRPr="00AD3D34">
        <w:t xml:space="preserve">Сроки проведения внешней проверки установлены </w:t>
      </w:r>
      <w:r w:rsidR="004B4FC6" w:rsidRPr="00AD3D34">
        <w:t>как и для внешней проверке годового отчета об исполнении областного бюджета Ульяновской области (</w:t>
      </w:r>
      <w:r w:rsidRPr="00AD3D34">
        <w:t xml:space="preserve">ст. 21 Закона Ульяновской области «Об особенностях </w:t>
      </w:r>
      <w:r w:rsidR="004B4FC6" w:rsidRPr="00AD3D34">
        <w:t>бюджетного</w:t>
      </w:r>
      <w:r w:rsidRPr="00AD3D34">
        <w:t xml:space="preserve"> процесса </w:t>
      </w:r>
      <w:proofErr w:type="gramStart"/>
      <w:r w:rsidRPr="00AD3D34">
        <w:t>в  Ульяновской</w:t>
      </w:r>
      <w:proofErr w:type="gramEnd"/>
      <w:r w:rsidRPr="00AD3D34">
        <w:t xml:space="preserve"> области»</w:t>
      </w:r>
      <w:r w:rsidR="004B4FC6" w:rsidRPr="00AD3D34">
        <w:t>)</w:t>
      </w:r>
      <w:r w:rsidRPr="00AD3D34">
        <w:t>.</w:t>
      </w:r>
    </w:p>
    <w:p w14:paraId="449CF22E" w14:textId="77777777" w:rsidR="00EC5AA8" w:rsidRPr="00AD3D34" w:rsidRDefault="002F2216" w:rsidP="002F2216">
      <w:pPr>
        <w:pStyle w:val="1"/>
      </w:pPr>
      <w:bookmarkStart w:id="9" w:name="_Toc410306148"/>
      <w:bookmarkStart w:id="10" w:name="_Toc410905366"/>
      <w:bookmarkStart w:id="11" w:name="_Toc411258026"/>
      <w:r w:rsidRPr="00AD3D34">
        <w:t>4.</w:t>
      </w:r>
      <w:r w:rsidR="00EC5AA8" w:rsidRPr="00AD3D34">
        <w:t>Организация внешней проверки</w:t>
      </w:r>
    </w:p>
    <w:p w14:paraId="5403A6AD" w14:textId="77777777" w:rsidR="00A01D5F" w:rsidRPr="00AD3D34" w:rsidRDefault="00A01D5F" w:rsidP="00A01D5F">
      <w:pPr>
        <w:pStyle w:val="Default"/>
        <w:widowControl w:val="0"/>
        <w:spacing w:line="24" w:lineRule="atLeast"/>
        <w:ind w:left="720"/>
        <w:rPr>
          <w:b/>
          <w:color w:val="auto"/>
          <w:sz w:val="28"/>
          <w:szCs w:val="28"/>
        </w:rPr>
      </w:pPr>
    </w:p>
    <w:p w14:paraId="2B1E1E21" w14:textId="77777777" w:rsidR="00EC5AA8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>4.</w:t>
      </w:r>
      <w:r w:rsidR="002F2216" w:rsidRPr="00AD3D34">
        <w:t>1</w:t>
      </w:r>
      <w:r w:rsidRPr="00AD3D34">
        <w:t xml:space="preserve">. Организация внешней проверки </w:t>
      </w:r>
      <w:r w:rsidR="0018367E" w:rsidRPr="00AD3D34">
        <w:t xml:space="preserve">годового </w:t>
      </w:r>
      <w:r w:rsidRPr="00AD3D34">
        <w:t>отчета об ис</w:t>
      </w:r>
      <w:r w:rsidR="00E9544E" w:rsidRPr="00AD3D34">
        <w:t xml:space="preserve">полнении бюджета ТФОМС </w:t>
      </w:r>
      <w:r w:rsidRPr="00AD3D34">
        <w:t xml:space="preserve">осуществляется исходя из установленных законодательством этапов и сроков бюджетного процесса в части формирования отчета об исполнении бюджета ТФОМС </w:t>
      </w:r>
      <w:r w:rsidR="00E9544E" w:rsidRPr="00AD3D34">
        <w:t>з</w:t>
      </w:r>
      <w:r w:rsidRPr="00AD3D34">
        <w:t xml:space="preserve">а отчетный финансовый год и предусматривает три основных этапа: </w:t>
      </w:r>
    </w:p>
    <w:p w14:paraId="3D76A551" w14:textId="77777777" w:rsidR="00EC5AA8" w:rsidRPr="00AD3D34" w:rsidRDefault="00EC5AA8" w:rsidP="001A7856">
      <w:pPr>
        <w:pStyle w:val="12"/>
        <w:tabs>
          <w:tab w:val="clear" w:pos="1276"/>
        </w:tabs>
        <w:suppressAutoHyphens/>
        <w:spacing w:line="24" w:lineRule="atLeast"/>
        <w:ind w:firstLine="851"/>
      </w:pPr>
      <w:r w:rsidRPr="00AD3D34">
        <w:t>- подготовительный этап;</w:t>
      </w:r>
    </w:p>
    <w:p w14:paraId="0BB0D94A" w14:textId="77777777" w:rsidR="00EC5AA8" w:rsidRPr="00AD3D34" w:rsidRDefault="00EC5AA8" w:rsidP="001A7856">
      <w:pPr>
        <w:pStyle w:val="12"/>
        <w:tabs>
          <w:tab w:val="clear" w:pos="1276"/>
        </w:tabs>
        <w:suppressAutoHyphens/>
        <w:spacing w:line="24" w:lineRule="atLeast"/>
        <w:ind w:firstLine="851"/>
      </w:pPr>
      <w:r w:rsidRPr="00AD3D34">
        <w:t>- основной этап;</w:t>
      </w:r>
    </w:p>
    <w:p w14:paraId="1A8C9C97" w14:textId="77777777" w:rsidR="00EC5AA8" w:rsidRPr="00AD3D34" w:rsidRDefault="00EC5AA8" w:rsidP="001A7856">
      <w:pPr>
        <w:pStyle w:val="12"/>
        <w:tabs>
          <w:tab w:val="clear" w:pos="1276"/>
        </w:tabs>
        <w:suppressAutoHyphens/>
        <w:spacing w:line="24" w:lineRule="atLeast"/>
        <w:ind w:firstLine="851"/>
      </w:pPr>
      <w:r w:rsidRPr="00AD3D34">
        <w:t xml:space="preserve">- заключительный этап. </w:t>
      </w:r>
    </w:p>
    <w:p w14:paraId="1F6002E2" w14:textId="77777777" w:rsidR="00EC5AA8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>4.</w:t>
      </w:r>
      <w:r w:rsidR="004517BD" w:rsidRPr="00AD3D34">
        <w:t>2</w:t>
      </w:r>
      <w:r w:rsidRPr="00AD3D34">
        <w:t>. На подготовительном этапе внешней проверки отчета об исполнении бюджета ТФОМС изучается содержание следующих документов:</w:t>
      </w:r>
    </w:p>
    <w:p w14:paraId="415B4A27" w14:textId="77777777" w:rsidR="00EC5AA8" w:rsidRPr="00AD3D34" w:rsidRDefault="004B4FC6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 xml:space="preserve">- </w:t>
      </w:r>
      <w:proofErr w:type="gramStart"/>
      <w:r w:rsidR="00EC5AA8" w:rsidRPr="00AD3D34">
        <w:t>закон</w:t>
      </w:r>
      <w:r w:rsidRPr="00AD3D34">
        <w:t xml:space="preserve">а </w:t>
      </w:r>
      <w:r w:rsidR="00EC5AA8" w:rsidRPr="00AD3D34">
        <w:t xml:space="preserve"> о</w:t>
      </w:r>
      <w:proofErr w:type="gramEnd"/>
      <w:r w:rsidR="00EC5AA8" w:rsidRPr="00AD3D34">
        <w:t xml:space="preserve"> бюджете ТФОМС за отчетный финансовый год;</w:t>
      </w:r>
    </w:p>
    <w:p w14:paraId="6638A0E5" w14:textId="77777777" w:rsidR="00EC5AA8" w:rsidRPr="00AD3D34" w:rsidRDefault="004B4FC6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 нормативно-правовых актов</w:t>
      </w:r>
      <w:r w:rsidR="00EC5AA8" w:rsidRPr="00AD3D34">
        <w:t>, действующи</w:t>
      </w:r>
      <w:r w:rsidRPr="00AD3D34">
        <w:t>х</w:t>
      </w:r>
      <w:r w:rsidR="00EC5AA8" w:rsidRPr="00AD3D34">
        <w:t xml:space="preserve"> в отчетном периоде </w:t>
      </w:r>
      <w:r w:rsidRPr="00AD3D34">
        <w:t xml:space="preserve">и </w:t>
      </w:r>
      <w:r w:rsidR="00EC5AA8" w:rsidRPr="00AD3D34">
        <w:t>необходимы</w:t>
      </w:r>
      <w:r w:rsidRPr="00AD3D34">
        <w:t>х</w:t>
      </w:r>
      <w:r w:rsidR="00EC5AA8" w:rsidRPr="00AD3D34">
        <w:t xml:space="preserve"> для организации и обеспечения исполнения бюджета ТФОМС в отчетном финансовом году, а также </w:t>
      </w:r>
      <w:r w:rsidR="00B47429" w:rsidRPr="00AD3D34">
        <w:t xml:space="preserve">к </w:t>
      </w:r>
      <w:r w:rsidR="00EC5AA8" w:rsidRPr="00AD3D34">
        <w:t xml:space="preserve">формированию и предоставлению годового отчета об исполнении бюджета ТФОМС и бюджетной отчетности; </w:t>
      </w:r>
    </w:p>
    <w:p w14:paraId="25814C28" w14:textId="77777777" w:rsidR="00EC5AA8" w:rsidRPr="00AD3D34" w:rsidRDefault="00B47429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 xml:space="preserve">- </w:t>
      </w:r>
      <w:r w:rsidR="00EC5AA8" w:rsidRPr="00AD3D34">
        <w:t>нормативны</w:t>
      </w:r>
      <w:r w:rsidRPr="00AD3D34">
        <w:t>х</w:t>
      </w:r>
      <w:r w:rsidR="00EC5AA8" w:rsidRPr="00AD3D34">
        <w:t xml:space="preserve"> правовы</w:t>
      </w:r>
      <w:r w:rsidRPr="00AD3D34">
        <w:t>х</w:t>
      </w:r>
      <w:r w:rsidR="00EC5AA8" w:rsidRPr="00AD3D34">
        <w:t xml:space="preserve"> и ины</w:t>
      </w:r>
      <w:r w:rsidRPr="00AD3D34">
        <w:t>х</w:t>
      </w:r>
      <w:r w:rsidR="00EC5AA8" w:rsidRPr="00AD3D34">
        <w:t xml:space="preserve"> распорядительны</w:t>
      </w:r>
      <w:r w:rsidRPr="00AD3D34">
        <w:t>х</w:t>
      </w:r>
      <w:r w:rsidR="00EC5AA8" w:rsidRPr="00AD3D34">
        <w:t xml:space="preserve"> документ</w:t>
      </w:r>
      <w:r w:rsidRPr="00AD3D34">
        <w:t>ов</w:t>
      </w:r>
      <w:r w:rsidR="00EC5AA8" w:rsidRPr="00AD3D34">
        <w:t>, действующи</w:t>
      </w:r>
      <w:r w:rsidRPr="00AD3D34">
        <w:t>х</w:t>
      </w:r>
      <w:r w:rsidR="00EC5AA8" w:rsidRPr="00AD3D34">
        <w:t xml:space="preserve"> в отчетном периоде и регламентирующи</w:t>
      </w:r>
      <w:r w:rsidRPr="00AD3D34">
        <w:t>х</w:t>
      </w:r>
      <w:r w:rsidR="00EC5AA8" w:rsidRPr="00AD3D34">
        <w:t xml:space="preserve"> процесс организации и исполнения бюджета ТФОМС в отчетном финансовом году, а также устанавливающи</w:t>
      </w:r>
      <w:r w:rsidRPr="00AD3D34">
        <w:t>х</w:t>
      </w:r>
      <w:r w:rsidR="00EC5AA8" w:rsidRPr="00AD3D34">
        <w:t xml:space="preserve"> требования к законам о бюджете ТФОМС и его исполнении, формированию и предоставлению годового отчета об исполнении бюджета ТФОМС и бюджетной отчетности;</w:t>
      </w:r>
    </w:p>
    <w:p w14:paraId="6C5361A3" w14:textId="77777777" w:rsidR="00EC5AA8" w:rsidRPr="00AD3D34" w:rsidRDefault="00B47429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 xml:space="preserve">- </w:t>
      </w:r>
      <w:r w:rsidR="00EC5AA8" w:rsidRPr="00AD3D34">
        <w:t>при необходимости други</w:t>
      </w:r>
      <w:r w:rsidRPr="00AD3D34">
        <w:t>х</w:t>
      </w:r>
      <w:r w:rsidR="00EC5AA8" w:rsidRPr="00AD3D34">
        <w:t xml:space="preserve"> документ</w:t>
      </w:r>
      <w:r w:rsidRPr="00AD3D34">
        <w:t>ов</w:t>
      </w:r>
      <w:r w:rsidR="00EC5AA8" w:rsidRPr="00AD3D34">
        <w:t xml:space="preserve"> (материал</w:t>
      </w:r>
      <w:r w:rsidR="00953EF6" w:rsidRPr="00AD3D34">
        <w:t>о</w:t>
      </w:r>
      <w:r w:rsidRPr="00AD3D34">
        <w:t>в</w:t>
      </w:r>
      <w:r w:rsidR="00EC5AA8" w:rsidRPr="00AD3D34">
        <w:t>), необходимы</w:t>
      </w:r>
      <w:r w:rsidRPr="00AD3D34">
        <w:t>х</w:t>
      </w:r>
      <w:r w:rsidR="00EC5AA8" w:rsidRPr="00AD3D34">
        <w:t xml:space="preserve"> для подготовки организационно-распорядительных документов</w:t>
      </w:r>
      <w:r w:rsidRPr="00AD3D34">
        <w:t>, в частности программы внешней проверки</w:t>
      </w:r>
      <w:r w:rsidR="00EC5AA8" w:rsidRPr="00AD3D34">
        <w:t>.</w:t>
      </w:r>
    </w:p>
    <w:p w14:paraId="55D59284" w14:textId="77777777" w:rsidR="00EC5AA8" w:rsidRPr="00AD3D34" w:rsidRDefault="00EC5AA8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 xml:space="preserve">На данном этапе осуществляется также подготовка запросов </w:t>
      </w:r>
      <w:proofErr w:type="gramStart"/>
      <w:r w:rsidR="00585C5F" w:rsidRPr="00AD3D34">
        <w:t xml:space="preserve">о </w:t>
      </w:r>
      <w:r w:rsidRPr="00AD3D34">
        <w:t xml:space="preserve"> предоставлени</w:t>
      </w:r>
      <w:r w:rsidR="00585C5F" w:rsidRPr="00AD3D34">
        <w:t>и</w:t>
      </w:r>
      <w:proofErr w:type="gramEnd"/>
      <w:r w:rsidRPr="00AD3D34">
        <w:t xml:space="preserve"> информации для проведения анализа бюджета</w:t>
      </w:r>
      <w:r w:rsidR="00E9544E" w:rsidRPr="00AD3D34">
        <w:t xml:space="preserve"> </w:t>
      </w:r>
      <w:r w:rsidRPr="00AD3D34">
        <w:t>ТФОМС, оформление необходимых организационно-распорядительных документов, определение конкретных сроков подготовки заключени</w:t>
      </w:r>
      <w:r w:rsidR="00E9544E" w:rsidRPr="00AD3D34">
        <w:t>я</w:t>
      </w:r>
      <w:r w:rsidRPr="00AD3D34">
        <w:t xml:space="preserve"> </w:t>
      </w:r>
      <w:r w:rsidR="00953EF6" w:rsidRPr="00AD3D34">
        <w:t xml:space="preserve">Счетной </w:t>
      </w:r>
      <w:r w:rsidRPr="00AD3D34">
        <w:t xml:space="preserve"> </w:t>
      </w:r>
      <w:r w:rsidR="00953EF6" w:rsidRPr="00AD3D34">
        <w:t xml:space="preserve">палаты </w:t>
      </w:r>
      <w:r w:rsidRPr="00AD3D34">
        <w:t>на годовой отчет об исполнении бюджета</w:t>
      </w:r>
      <w:r w:rsidR="00E9544E" w:rsidRPr="00AD3D34">
        <w:t xml:space="preserve"> </w:t>
      </w:r>
      <w:r w:rsidRPr="00AD3D34">
        <w:t>ТФОМС.</w:t>
      </w:r>
    </w:p>
    <w:p w14:paraId="7D62A5CB" w14:textId="77777777" w:rsidR="00EC5AA8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>4.</w:t>
      </w:r>
      <w:r w:rsidR="004517BD" w:rsidRPr="00AD3D34">
        <w:t>3</w:t>
      </w:r>
      <w:r w:rsidRPr="00AD3D34">
        <w:t>. В ходе основного этапа внешней проверки осуществляются:</w:t>
      </w:r>
    </w:p>
    <w:p w14:paraId="4C7F66C3" w14:textId="77777777" w:rsidR="00EC5AA8" w:rsidRPr="00AD3D34" w:rsidRDefault="00EC5AA8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проверка годовой бюджетной отчетности</w:t>
      </w:r>
      <w:r w:rsidR="00E9544E" w:rsidRPr="00AD3D34">
        <w:t xml:space="preserve"> </w:t>
      </w:r>
      <w:r w:rsidRPr="00AD3D34">
        <w:t xml:space="preserve">ТФОМС; </w:t>
      </w:r>
    </w:p>
    <w:p w14:paraId="4E963728" w14:textId="77777777" w:rsidR="00EC5AA8" w:rsidRPr="00AD3D34" w:rsidRDefault="00EC5AA8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lastRenderedPageBreak/>
        <w:t xml:space="preserve">проверка, анализ и оценка обоснованности основных показателей </w:t>
      </w:r>
      <w:r w:rsidR="0027657D" w:rsidRPr="00AD3D34">
        <w:t xml:space="preserve">годового </w:t>
      </w:r>
      <w:r w:rsidRPr="00AD3D34">
        <w:t>отчета об исполнении бюджета</w:t>
      </w:r>
      <w:r w:rsidR="00E9544E" w:rsidRPr="00AD3D34">
        <w:t xml:space="preserve"> </w:t>
      </w:r>
      <w:r w:rsidRPr="00AD3D34">
        <w:t>ТФОМС;</w:t>
      </w:r>
    </w:p>
    <w:p w14:paraId="73CEDE15" w14:textId="77777777" w:rsidR="00EC5AA8" w:rsidRPr="00AD3D34" w:rsidRDefault="00EC5AA8" w:rsidP="001A7856">
      <w:pPr>
        <w:pStyle w:val="Default"/>
        <w:widowControl w:val="0"/>
        <w:spacing w:line="24" w:lineRule="atLeast"/>
        <w:ind w:firstLine="851"/>
        <w:jc w:val="both"/>
        <w:rPr>
          <w:rFonts w:eastAsia="Times New Roman"/>
          <w:b/>
          <w:color w:val="auto"/>
          <w:sz w:val="28"/>
          <w:szCs w:val="28"/>
        </w:rPr>
      </w:pPr>
      <w:r w:rsidRPr="00AD3D34">
        <w:rPr>
          <w:sz w:val="28"/>
          <w:szCs w:val="28"/>
          <w:lang w:bidi="ru-RU"/>
        </w:rPr>
        <w:t>проверка реализации бюджетных полномочий ТФОМС</w:t>
      </w:r>
      <w:r w:rsidR="00953EF6" w:rsidRPr="00AD3D34">
        <w:rPr>
          <w:sz w:val="28"/>
          <w:szCs w:val="28"/>
          <w:lang w:bidi="ru-RU"/>
        </w:rPr>
        <w:t>,</w:t>
      </w:r>
      <w:r w:rsidRPr="00AD3D34">
        <w:rPr>
          <w:sz w:val="28"/>
          <w:szCs w:val="28"/>
          <w:lang w:bidi="ru-RU"/>
        </w:rPr>
        <w:t xml:space="preserve"> </w:t>
      </w:r>
      <w:r w:rsidRPr="00AD3D34">
        <w:rPr>
          <w:rFonts w:eastAsia="Times New Roman"/>
          <w:color w:val="auto"/>
          <w:sz w:val="28"/>
          <w:szCs w:val="28"/>
        </w:rPr>
        <w:t>определение соответствия требованиям законодательства при исполнении бюджета ТФОМС;</w:t>
      </w:r>
    </w:p>
    <w:p w14:paraId="622AC2B0" w14:textId="77777777" w:rsidR="00EC5AA8" w:rsidRPr="00AD3D34" w:rsidRDefault="00EC5AA8" w:rsidP="001A7856">
      <w:pPr>
        <w:pStyle w:val="Default"/>
        <w:widowControl w:val="0"/>
        <w:spacing w:line="24" w:lineRule="atLeast"/>
        <w:ind w:firstLine="851"/>
        <w:jc w:val="both"/>
        <w:rPr>
          <w:sz w:val="28"/>
          <w:szCs w:val="28"/>
          <w:lang w:bidi="ru-RU"/>
        </w:rPr>
      </w:pPr>
      <w:r w:rsidRPr="00AD3D34">
        <w:rPr>
          <w:sz w:val="28"/>
          <w:szCs w:val="28"/>
          <w:lang w:bidi="ru-RU"/>
        </w:rPr>
        <w:t>оценка полноты и своевременности устранения в отчетном финансовом году установленных нарушений;</w:t>
      </w:r>
    </w:p>
    <w:p w14:paraId="1D7BCBE8" w14:textId="77777777" w:rsidR="00EC5AA8" w:rsidRPr="00AD3D34" w:rsidRDefault="00EC5AA8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оценка и анализ материалов, представленных одновременно с годовым отчетом об исполнении бюджета</w:t>
      </w:r>
      <w:r w:rsidR="00B33FFC" w:rsidRPr="00AD3D34">
        <w:t xml:space="preserve"> </w:t>
      </w:r>
      <w:r w:rsidRPr="00AD3D34">
        <w:t>ТФОМС и информации по направленным запросам.</w:t>
      </w:r>
    </w:p>
    <w:p w14:paraId="314A4153" w14:textId="77777777" w:rsidR="0027657D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>4.</w:t>
      </w:r>
      <w:r w:rsidR="004517BD" w:rsidRPr="00AD3D34">
        <w:t>4</w:t>
      </w:r>
      <w:r w:rsidRPr="00AD3D34">
        <w:t xml:space="preserve">. На заключительном этапе внешней проверки годового отчета об исполнении бюджета ТФОМС осуществляется подготовка заключения </w:t>
      </w:r>
      <w:r w:rsidR="002F2216" w:rsidRPr="00AD3D34">
        <w:t xml:space="preserve">Счетной </w:t>
      </w:r>
      <w:proofErr w:type="gramStart"/>
      <w:r w:rsidR="002F2216" w:rsidRPr="00AD3D34">
        <w:t xml:space="preserve">палаты </w:t>
      </w:r>
      <w:r w:rsidR="00B33FFC" w:rsidRPr="00AD3D34">
        <w:t xml:space="preserve"> </w:t>
      </w:r>
      <w:r w:rsidRPr="00AD3D34">
        <w:t>с</w:t>
      </w:r>
      <w:proofErr w:type="gramEnd"/>
      <w:r w:rsidRPr="00AD3D34">
        <w:t xml:space="preserve"> учетом результатов проверки годовой бюджетной отчетности</w:t>
      </w:r>
      <w:r w:rsidR="00B33FFC" w:rsidRPr="00AD3D34">
        <w:t xml:space="preserve"> </w:t>
      </w:r>
      <w:r w:rsidRPr="00AD3D34">
        <w:t xml:space="preserve">ТФОМС </w:t>
      </w:r>
      <w:r w:rsidR="0027657D" w:rsidRPr="00AD3D34">
        <w:t xml:space="preserve">и </w:t>
      </w:r>
      <w:r w:rsidRPr="00AD3D34">
        <w:t xml:space="preserve">его направление в </w:t>
      </w:r>
      <w:r w:rsidR="002F2216" w:rsidRPr="00AD3D34">
        <w:t xml:space="preserve">Законодательное Собрание Ульяновской области и Правительство Ульяновской области. </w:t>
      </w:r>
      <w:bookmarkEnd w:id="9"/>
      <w:bookmarkEnd w:id="10"/>
      <w:bookmarkEnd w:id="11"/>
    </w:p>
    <w:p w14:paraId="08B8CFEB" w14:textId="77777777" w:rsidR="002F2216" w:rsidRPr="00AD3D34" w:rsidRDefault="002F2216" w:rsidP="001A7856">
      <w:pPr>
        <w:suppressAutoHyphens/>
        <w:spacing w:line="24" w:lineRule="atLeast"/>
        <w:ind w:firstLine="851"/>
        <w:jc w:val="both"/>
      </w:pPr>
    </w:p>
    <w:p w14:paraId="350D17C7" w14:textId="77777777" w:rsidR="00B33FFC" w:rsidRPr="00AD3D34" w:rsidRDefault="00EC5AA8" w:rsidP="002F2216">
      <w:pPr>
        <w:pStyle w:val="1"/>
        <w:rPr>
          <w:b w:val="0"/>
          <w:i/>
        </w:rPr>
      </w:pPr>
      <w:r w:rsidRPr="00AD3D34">
        <w:rPr>
          <w:i/>
        </w:rPr>
        <w:t>Содержание внешней проверки</w:t>
      </w:r>
    </w:p>
    <w:p w14:paraId="525609FA" w14:textId="77777777" w:rsidR="001D4E87" w:rsidRPr="00AD3D34" w:rsidRDefault="001D4E87" w:rsidP="001D4E87">
      <w:pPr>
        <w:pStyle w:val="a7"/>
        <w:suppressAutoHyphens/>
        <w:spacing w:line="24" w:lineRule="atLeast"/>
        <w:rPr>
          <w:b/>
          <w:i/>
        </w:rPr>
      </w:pPr>
    </w:p>
    <w:p w14:paraId="49C9B01C" w14:textId="77777777" w:rsidR="00EC5AA8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 xml:space="preserve">5.1. </w:t>
      </w:r>
      <w:r w:rsidRPr="00AD3D34">
        <w:rPr>
          <w:lang w:bidi="ru-RU"/>
        </w:rPr>
        <w:t>При проведении внешней проверки годового отчета об исполнении бюджета ТФОМС</w:t>
      </w:r>
      <w:r w:rsidR="007677FD" w:rsidRPr="00AD3D34">
        <w:rPr>
          <w:lang w:bidi="ru-RU"/>
        </w:rPr>
        <w:t xml:space="preserve"> </w:t>
      </w:r>
      <w:r w:rsidRPr="00AD3D34">
        <w:rPr>
          <w:lang w:bidi="ru-RU"/>
        </w:rPr>
        <w:t>за отчетный год осуществляется:</w:t>
      </w:r>
    </w:p>
    <w:p w14:paraId="5975F86A" w14:textId="77777777" w:rsidR="00EC5AA8" w:rsidRPr="00AD3D34" w:rsidRDefault="00EC5AA8" w:rsidP="001A7856">
      <w:pPr>
        <w:widowControl w:val="0"/>
        <w:spacing w:line="24" w:lineRule="atLeast"/>
        <w:ind w:firstLine="851"/>
        <w:jc w:val="both"/>
        <w:rPr>
          <w:lang w:bidi="ru-RU"/>
        </w:rPr>
      </w:pPr>
      <w:r w:rsidRPr="00AD3D34">
        <w:rPr>
          <w:lang w:bidi="ru-RU"/>
        </w:rPr>
        <w:t xml:space="preserve"> </w:t>
      </w:r>
      <w:r w:rsidR="009918F5" w:rsidRPr="00AD3D34">
        <w:rPr>
          <w:lang w:bidi="ru-RU"/>
        </w:rPr>
        <w:t>- п</w:t>
      </w:r>
      <w:r w:rsidRPr="00AD3D34">
        <w:rPr>
          <w:lang w:bidi="ru-RU"/>
        </w:rPr>
        <w:t>роверка</w:t>
      </w:r>
      <w:r w:rsidR="007677FD" w:rsidRPr="00AD3D34">
        <w:rPr>
          <w:lang w:bidi="ru-RU"/>
        </w:rPr>
        <w:t xml:space="preserve"> </w:t>
      </w:r>
      <w:r w:rsidRPr="00AD3D34">
        <w:rPr>
          <w:lang w:bidi="ru-RU"/>
        </w:rPr>
        <w:t>состава форм отчетности и полноты отражения информации в формах отчетности</w:t>
      </w:r>
      <w:r w:rsidR="0048088F" w:rsidRPr="00AD3D34">
        <w:rPr>
          <w:lang w:bidi="ru-RU"/>
        </w:rPr>
        <w:t>;</w:t>
      </w:r>
    </w:p>
    <w:p w14:paraId="1DC7D6F9" w14:textId="77777777" w:rsidR="00EC5AA8" w:rsidRPr="00AD3D34" w:rsidRDefault="009918F5" w:rsidP="001A7856">
      <w:pPr>
        <w:widowControl w:val="0"/>
        <w:spacing w:line="24" w:lineRule="atLeast"/>
        <w:ind w:firstLine="851"/>
        <w:jc w:val="both"/>
      </w:pPr>
      <w:r w:rsidRPr="00AD3D34">
        <w:rPr>
          <w:lang w:bidi="ru-RU"/>
        </w:rPr>
        <w:t>- п</w:t>
      </w:r>
      <w:r w:rsidR="00EC5AA8" w:rsidRPr="00AD3D34">
        <w:rPr>
          <w:lang w:bidi="ru-RU"/>
        </w:rPr>
        <w:t>роверка</w:t>
      </w:r>
      <w:r w:rsidR="007677FD" w:rsidRPr="00AD3D34">
        <w:rPr>
          <w:lang w:bidi="ru-RU"/>
        </w:rPr>
        <w:t xml:space="preserve"> </w:t>
      </w:r>
      <w:r w:rsidR="00EC5AA8" w:rsidRPr="00AD3D34">
        <w:t xml:space="preserve">соответствия кодов бюджетной классификации, отраженных в </w:t>
      </w:r>
      <w:r w:rsidR="0027657D" w:rsidRPr="00AD3D34">
        <w:t xml:space="preserve">годовом </w:t>
      </w:r>
      <w:r w:rsidR="00EC5AA8" w:rsidRPr="00AD3D34">
        <w:t xml:space="preserve">отчете об исполнении бюджета </w:t>
      </w:r>
      <w:proofErr w:type="gramStart"/>
      <w:r w:rsidR="00EC5AA8" w:rsidRPr="00AD3D34">
        <w:t>ТФОМС</w:t>
      </w:r>
      <w:r w:rsidR="00953EF6" w:rsidRPr="00AD3D34">
        <w:t xml:space="preserve">  «</w:t>
      </w:r>
      <w:proofErr w:type="gramEnd"/>
      <w:r w:rsidR="00EC5AA8" w:rsidRPr="00AD3D34">
        <w:t xml:space="preserve"> Указаниям о порядке применения бюджетной классификации Российской Федерации</w:t>
      </w:r>
      <w:r w:rsidR="00953EF6" w:rsidRPr="00AD3D34">
        <w:t>»</w:t>
      </w:r>
      <w:r w:rsidR="0048088F" w:rsidRPr="00AD3D34">
        <w:t>;</w:t>
      </w:r>
    </w:p>
    <w:p w14:paraId="168EC77B" w14:textId="77777777" w:rsidR="00EC5AA8" w:rsidRPr="00AD3D34" w:rsidRDefault="009918F5" w:rsidP="001A7856">
      <w:pPr>
        <w:widowControl w:val="0"/>
        <w:spacing w:line="24" w:lineRule="atLeast"/>
        <w:ind w:firstLine="851"/>
        <w:jc w:val="both"/>
      </w:pPr>
      <w:r w:rsidRPr="00AD3D34">
        <w:rPr>
          <w:lang w:bidi="ru-RU"/>
        </w:rPr>
        <w:t>- п</w:t>
      </w:r>
      <w:r w:rsidR="00EC5AA8" w:rsidRPr="00AD3D34">
        <w:rPr>
          <w:lang w:bidi="ru-RU"/>
        </w:rPr>
        <w:t>роверка</w:t>
      </w:r>
      <w:r w:rsidR="007677FD" w:rsidRPr="00AD3D34">
        <w:rPr>
          <w:lang w:bidi="ru-RU"/>
        </w:rPr>
        <w:t xml:space="preserve"> </w:t>
      </w:r>
      <w:r w:rsidR="00EC5AA8" w:rsidRPr="00AD3D34">
        <w:t>обоснованности изменений, внесенных в отчетном финансовом году в сводную бюджетную роспись бюджета ТФОМС (при необходимости)</w:t>
      </w:r>
      <w:r w:rsidR="0048088F" w:rsidRPr="00AD3D34">
        <w:t>;</w:t>
      </w:r>
    </w:p>
    <w:p w14:paraId="7E8775EC" w14:textId="77777777" w:rsidR="002817D6" w:rsidRPr="00AD3D34" w:rsidRDefault="002817D6" w:rsidP="001A7856">
      <w:pPr>
        <w:widowControl w:val="0"/>
        <w:spacing w:line="24" w:lineRule="atLeast"/>
        <w:ind w:firstLine="851"/>
        <w:jc w:val="both"/>
      </w:pPr>
      <w:r w:rsidRPr="00AD3D34">
        <w:rPr>
          <w:lang w:bidi="ru-RU"/>
        </w:rPr>
        <w:t>- п</w:t>
      </w:r>
      <w:r w:rsidR="00EC5AA8" w:rsidRPr="00AD3D34">
        <w:rPr>
          <w:lang w:bidi="ru-RU"/>
        </w:rPr>
        <w:t>роверка</w:t>
      </w:r>
      <w:r w:rsidR="007677FD" w:rsidRPr="00AD3D34">
        <w:rPr>
          <w:lang w:bidi="ru-RU"/>
        </w:rPr>
        <w:t xml:space="preserve"> </w:t>
      </w:r>
      <w:r w:rsidR="00EC5AA8" w:rsidRPr="00AD3D34">
        <w:t>соответствия показателей годового отчета об исполнении бюджета ТФОМС в части плановых назначений показателям, утвержденным законом о бюджете ТФОМС на отчетный финансовый год</w:t>
      </w:r>
      <w:r w:rsidRPr="00AD3D34">
        <w:t>.</w:t>
      </w:r>
    </w:p>
    <w:p w14:paraId="2DC3E070" w14:textId="77777777" w:rsidR="00EC5AA8" w:rsidRPr="00AD3D34" w:rsidRDefault="00EC5AA8" w:rsidP="001A7856">
      <w:pPr>
        <w:widowControl w:val="0"/>
        <w:spacing w:line="24" w:lineRule="atLeast"/>
        <w:ind w:firstLine="851"/>
        <w:jc w:val="both"/>
      </w:pPr>
      <w:r w:rsidRPr="00AD3D34">
        <w:t>5.</w:t>
      </w:r>
      <w:r w:rsidR="0048088F" w:rsidRPr="00AD3D34">
        <w:t>2</w:t>
      </w:r>
      <w:r w:rsidRPr="00AD3D34">
        <w:t>. Анализ исполнения бюджета ТФОМС</w:t>
      </w:r>
      <w:r w:rsidR="007677FD" w:rsidRPr="00AD3D34">
        <w:t xml:space="preserve"> </w:t>
      </w:r>
      <w:r w:rsidRPr="00AD3D34">
        <w:t>за отчетный период по доходам, предусматрива</w:t>
      </w:r>
      <w:r w:rsidR="0048088F" w:rsidRPr="00AD3D34">
        <w:t>ет</w:t>
      </w:r>
      <w:r w:rsidRPr="00AD3D34">
        <w:t>:</w:t>
      </w:r>
    </w:p>
    <w:p w14:paraId="4E85EC59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изменений плановых бюджетных назначений по доходам, внесенных в закон о бюджете ТФОМС</w:t>
      </w:r>
      <w:r w:rsidR="007677FD" w:rsidRPr="00AD3D34">
        <w:t xml:space="preserve"> </w:t>
      </w:r>
      <w:r w:rsidR="00EC5AA8" w:rsidRPr="00AD3D34">
        <w:t>на отчетный финансовый год и плановый период в течение отчетного финансового года;</w:t>
      </w:r>
    </w:p>
    <w:p w14:paraId="02C8ED00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уровня исполнения бюджета ТФОМС</w:t>
      </w:r>
      <w:r w:rsidR="007677FD" w:rsidRPr="00AD3D34">
        <w:t xml:space="preserve"> </w:t>
      </w:r>
      <w:r w:rsidR="00EC5AA8" w:rsidRPr="00AD3D34">
        <w:t>по доходам за отчетный финансовый год, а также динамики уровня его исполнения по отношению к предыдущему</w:t>
      </w:r>
      <w:r w:rsidR="007677FD" w:rsidRPr="00AD3D34">
        <w:t xml:space="preserve"> </w:t>
      </w:r>
      <w:r w:rsidR="00EC5AA8" w:rsidRPr="00AD3D34">
        <w:t>году, выявление факторов, повлиявших на уровень исполнения бюджета ТФОМС по доходам за отчетный финансовый год;</w:t>
      </w:r>
    </w:p>
    <w:p w14:paraId="7138C43B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информации о видах и объемах доходов по годам (отчетный финансовый год и год, предшествующий отчетному году), поступивших в бюджет ТФОМС, плановые назначения по которым не устанавливались</w:t>
      </w:r>
      <w:r w:rsidR="009B0050" w:rsidRPr="00AD3D34">
        <w:t>.</w:t>
      </w:r>
    </w:p>
    <w:p w14:paraId="29CD0439" w14:textId="77777777" w:rsidR="00EC5AA8" w:rsidRPr="00AD3D34" w:rsidRDefault="00EC5AA8" w:rsidP="001A7856">
      <w:pPr>
        <w:widowControl w:val="0"/>
        <w:spacing w:line="24" w:lineRule="atLeast"/>
        <w:ind w:firstLine="851"/>
        <w:jc w:val="both"/>
      </w:pPr>
      <w:r w:rsidRPr="00AD3D34">
        <w:t>5.</w:t>
      </w:r>
      <w:r w:rsidR="0048088F" w:rsidRPr="00AD3D34">
        <w:t>3</w:t>
      </w:r>
      <w:r w:rsidRPr="00AD3D34">
        <w:t>. Анализ исполнения бюджета ТФОМС</w:t>
      </w:r>
      <w:r w:rsidR="007677FD" w:rsidRPr="00AD3D34">
        <w:t xml:space="preserve"> </w:t>
      </w:r>
      <w:r w:rsidRPr="00AD3D34">
        <w:t xml:space="preserve">по расходам, </w:t>
      </w:r>
      <w:r w:rsidRPr="00AD3D34">
        <w:lastRenderedPageBreak/>
        <w:t>предусматрива</w:t>
      </w:r>
      <w:r w:rsidR="0048088F" w:rsidRPr="00AD3D34">
        <w:t>ет</w:t>
      </w:r>
      <w:r w:rsidRPr="00AD3D34">
        <w:t>:</w:t>
      </w:r>
    </w:p>
    <w:p w14:paraId="3927C1C5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изменений плановых бюджетных назначений по расходам, внесенных в закон о бюджете ТФОМС</w:t>
      </w:r>
      <w:r w:rsidR="00D63705" w:rsidRPr="00AD3D34">
        <w:t xml:space="preserve"> </w:t>
      </w:r>
      <w:r w:rsidR="00EC5AA8" w:rsidRPr="00AD3D34">
        <w:t>на отчетный финансовый год в течение отчетного финансового года;</w:t>
      </w:r>
    </w:p>
    <w:p w14:paraId="45416BD9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уровня исполнения бюджета ТФОМС</w:t>
      </w:r>
      <w:r w:rsidR="00D63705" w:rsidRPr="00AD3D34">
        <w:t xml:space="preserve"> </w:t>
      </w:r>
      <w:r w:rsidR="00EC5AA8" w:rsidRPr="00AD3D34">
        <w:t>за отчетный финансовый год по расходам, а также динамики уровня его исполнения за предыдущий год</w:t>
      </w:r>
      <w:r w:rsidR="00D63705" w:rsidRPr="00AD3D34">
        <w:t xml:space="preserve"> </w:t>
      </w:r>
      <w:r w:rsidR="00EC5AA8" w:rsidRPr="00AD3D34">
        <w:t>(выявление отклонений показателей исполнения бюджета ТФОМС, отраженных в бюджетной отчетности ТФОМС, от показателей, утвержденных законом о бюджете ТФОМС на отчетный финансовый год и плановый период и сводной бюджетной росписью бюджета ТФОМС,</w:t>
      </w:r>
      <w:r w:rsidR="00D63705" w:rsidRPr="00AD3D34">
        <w:t xml:space="preserve"> </w:t>
      </w:r>
      <w:r w:rsidR="00EC5AA8" w:rsidRPr="00AD3D34">
        <w:t>и установление причин неисполнения или исполнения не в полном объеме бюджета ТФОМС);</w:t>
      </w:r>
    </w:p>
    <w:p w14:paraId="79D33008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установленных лимитов бюджетных обязательств бюджета ТФОМС;</w:t>
      </w:r>
    </w:p>
    <w:p w14:paraId="35E698B2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показателей, характеризующих кассовое исполнение бюджета ТФОМС</w:t>
      </w:r>
      <w:r w:rsidR="00D63705" w:rsidRPr="00AD3D34">
        <w:t xml:space="preserve"> </w:t>
      </w:r>
      <w:r w:rsidR="00EC5AA8" w:rsidRPr="00AD3D34">
        <w:t>по соответствующим раздела</w:t>
      </w:r>
      <w:r w:rsidR="00D63705" w:rsidRPr="00AD3D34">
        <w:t>м, подразделам, целевым статьям</w:t>
      </w:r>
      <w:r w:rsidR="00EC5AA8" w:rsidRPr="00AD3D34">
        <w:t xml:space="preserve"> и видам расходов бюджетной классификации;</w:t>
      </w:r>
    </w:p>
    <w:p w14:paraId="6A7CACD1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 xml:space="preserve">анализ неисполненных расходов </w:t>
      </w:r>
      <w:r w:rsidR="0027657D" w:rsidRPr="00AD3D34">
        <w:t xml:space="preserve">с оценкой </w:t>
      </w:r>
      <w:r w:rsidR="00EC5AA8" w:rsidRPr="00AD3D34">
        <w:t>причин неисполнения бюджета ТФОМС;</w:t>
      </w:r>
    </w:p>
    <w:p w14:paraId="4BFECB0E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изменения объемов дебиторской и кредиторской задолженностей по средствам бюджета ТФОМС, по состоянию на 1 января отчетного финансового года и 1 января года, следующего за отчетным финансовым годом (просроченной, нереальной к взысканию), причин образования, а также анализ мер, принятых ТФОМС по ее погашению;</w:t>
      </w:r>
    </w:p>
    <w:p w14:paraId="08C0BEF7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анализ расходов на финансирование административно-управленческой деятельности ТФОМС</w:t>
      </w:r>
      <w:r w:rsidR="009B0050" w:rsidRPr="00AD3D34">
        <w:t>.</w:t>
      </w:r>
    </w:p>
    <w:p w14:paraId="656ACC44" w14:textId="77777777" w:rsidR="00EC5AA8" w:rsidRPr="00AD3D34" w:rsidRDefault="00EC5AA8" w:rsidP="001A7856">
      <w:pPr>
        <w:widowControl w:val="0"/>
        <w:spacing w:line="24" w:lineRule="atLeast"/>
        <w:ind w:firstLine="851"/>
        <w:jc w:val="both"/>
      </w:pPr>
      <w:r w:rsidRPr="00AD3D34">
        <w:t>5.</w:t>
      </w:r>
      <w:r w:rsidR="0048088F" w:rsidRPr="00AD3D34">
        <w:t>4</w:t>
      </w:r>
      <w:r w:rsidRPr="00AD3D34">
        <w:t xml:space="preserve">. Анализ итогов реализации </w:t>
      </w:r>
      <w:proofErr w:type="spellStart"/>
      <w:r w:rsidR="00285B39" w:rsidRPr="00AD3D34">
        <w:t>Терпрограммы</w:t>
      </w:r>
      <w:proofErr w:type="spellEnd"/>
      <w:r w:rsidRPr="00AD3D34">
        <w:t xml:space="preserve"> на отчетный финансовый год в части средств, предусмотренных в бюджете ТФОМС, включа</w:t>
      </w:r>
      <w:r w:rsidR="0048088F" w:rsidRPr="00AD3D34">
        <w:t>ет</w:t>
      </w:r>
      <w:r w:rsidRPr="00AD3D34">
        <w:t>:</w:t>
      </w:r>
    </w:p>
    <w:p w14:paraId="4D2B31EE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rPr>
          <w:snapToGrid w:val="0"/>
        </w:rPr>
        <w:t xml:space="preserve">- </w:t>
      </w:r>
      <w:r w:rsidR="00EC5AA8" w:rsidRPr="00AD3D34">
        <w:rPr>
          <w:snapToGrid w:val="0"/>
        </w:rPr>
        <w:t xml:space="preserve">сравнительный анализ уровня исполнения </w:t>
      </w:r>
      <w:r w:rsidR="00B814E6" w:rsidRPr="00AD3D34">
        <w:rPr>
          <w:snapToGrid w:val="0"/>
        </w:rPr>
        <w:t xml:space="preserve">расходов на </w:t>
      </w:r>
      <w:proofErr w:type="spellStart"/>
      <w:proofErr w:type="gramStart"/>
      <w:r w:rsidR="00285B39" w:rsidRPr="00AD3D34">
        <w:t>Терпрограмм</w:t>
      </w:r>
      <w:r w:rsidR="00B814E6" w:rsidRPr="00AD3D34">
        <w:t>у</w:t>
      </w:r>
      <w:proofErr w:type="spellEnd"/>
      <w:r w:rsidR="00B814E6" w:rsidRPr="00AD3D34">
        <w:t xml:space="preserve"> </w:t>
      </w:r>
      <w:r w:rsidR="00EC5AA8" w:rsidRPr="00AD3D34">
        <w:rPr>
          <w:snapToGrid w:val="0"/>
        </w:rPr>
        <w:t xml:space="preserve"> в</w:t>
      </w:r>
      <w:proofErr w:type="gramEnd"/>
      <w:r w:rsidR="00EC5AA8" w:rsidRPr="00AD3D34">
        <w:rPr>
          <w:snapToGrid w:val="0"/>
        </w:rPr>
        <w:t xml:space="preserve"> отчетном финансовом году по фактически поступившим в отчетном году источникам ее финансирования по отношению к объему доходов на указанные цели, утвержденному в бюджете ТФОМС, и источникам финансирования, утвержденным </w:t>
      </w:r>
      <w:proofErr w:type="spellStart"/>
      <w:r w:rsidR="00285B39" w:rsidRPr="00AD3D34">
        <w:t>Терпрограммой</w:t>
      </w:r>
      <w:proofErr w:type="spellEnd"/>
      <w:r w:rsidR="00EC5AA8" w:rsidRPr="00AD3D34">
        <w:rPr>
          <w:snapToGrid w:val="0"/>
        </w:rPr>
        <w:t xml:space="preserve"> (в целом и на одно застрахованное лицо); </w:t>
      </w:r>
    </w:p>
    <w:p w14:paraId="0D276084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  <w:rPr>
          <w:snapToGrid w:val="0"/>
        </w:rPr>
      </w:pPr>
      <w:r w:rsidRPr="00AD3D34">
        <w:rPr>
          <w:snapToGrid w:val="0"/>
        </w:rPr>
        <w:t xml:space="preserve">- </w:t>
      </w:r>
      <w:r w:rsidR="00EC5AA8" w:rsidRPr="00AD3D34">
        <w:rPr>
          <w:snapToGrid w:val="0"/>
        </w:rPr>
        <w:t xml:space="preserve">выявление отклонений </w:t>
      </w:r>
      <w:r w:rsidR="00EC5AA8" w:rsidRPr="00AD3D34">
        <w:t xml:space="preserve">уровня исполнения бюджета ТФОМС по расходам, предусмотренным на </w:t>
      </w:r>
      <w:proofErr w:type="spellStart"/>
      <w:r w:rsidR="00285B39" w:rsidRPr="00AD3D34">
        <w:t>Терпрограмму</w:t>
      </w:r>
      <w:proofErr w:type="spellEnd"/>
      <w:r w:rsidR="00B814E6" w:rsidRPr="00AD3D34">
        <w:t>,</w:t>
      </w:r>
      <w:r w:rsidR="00285B39" w:rsidRPr="00AD3D34">
        <w:rPr>
          <w:snapToGrid w:val="0"/>
        </w:rPr>
        <w:t xml:space="preserve"> </w:t>
      </w:r>
      <w:r w:rsidR="00EC5AA8" w:rsidRPr="00AD3D34">
        <w:rPr>
          <w:snapToGrid w:val="0"/>
        </w:rPr>
        <w:t xml:space="preserve">в части средств, предусмотренных в бюджете ТФОМС </w:t>
      </w:r>
      <w:r w:rsidR="00EC5AA8" w:rsidRPr="00AD3D34">
        <w:t xml:space="preserve">на отчетный финансовый год и в </w:t>
      </w:r>
      <w:r w:rsidR="00EC5AA8" w:rsidRPr="00AD3D34">
        <w:rPr>
          <w:snapToGrid w:val="0"/>
        </w:rPr>
        <w:t>сводной бюджетной росписи</w:t>
      </w:r>
      <w:r w:rsidR="00285B39" w:rsidRPr="00AD3D34">
        <w:rPr>
          <w:snapToGrid w:val="0"/>
        </w:rPr>
        <w:t xml:space="preserve"> </w:t>
      </w:r>
      <w:r w:rsidR="00EC5AA8" w:rsidRPr="00AD3D34">
        <w:rPr>
          <w:snapToGrid w:val="0"/>
        </w:rPr>
        <w:t>(при необходимости), установление причин их возникновения;</w:t>
      </w:r>
    </w:p>
    <w:p w14:paraId="3AAE4E64" w14:textId="77777777" w:rsidR="001A7856" w:rsidRPr="00AD3D34" w:rsidRDefault="001A7856" w:rsidP="001A7856">
      <w:pPr>
        <w:widowControl w:val="0"/>
        <w:spacing w:line="24" w:lineRule="atLeast"/>
        <w:ind w:firstLine="851"/>
        <w:jc w:val="both"/>
        <w:rPr>
          <w:snapToGrid w:val="0"/>
        </w:rPr>
      </w:pPr>
      <w:r w:rsidRPr="00AD3D34">
        <w:rPr>
          <w:snapToGrid w:val="0"/>
        </w:rPr>
        <w:t xml:space="preserve">Анализ достижения показателей качества и доступности медицинской помощи, установленных </w:t>
      </w:r>
      <w:proofErr w:type="spellStart"/>
      <w:r w:rsidRPr="00AD3D34">
        <w:rPr>
          <w:snapToGrid w:val="0"/>
        </w:rPr>
        <w:t>Терпрограммой</w:t>
      </w:r>
      <w:proofErr w:type="spellEnd"/>
      <w:r w:rsidRPr="00AD3D34">
        <w:rPr>
          <w:snapToGrid w:val="0"/>
        </w:rPr>
        <w:t>.</w:t>
      </w:r>
    </w:p>
    <w:p w14:paraId="4C023323" w14:textId="77777777" w:rsidR="00EC5AA8" w:rsidRPr="00AD3D34" w:rsidRDefault="00EC5AA8" w:rsidP="001A7856">
      <w:pPr>
        <w:widowControl w:val="0"/>
        <w:spacing w:line="24" w:lineRule="atLeast"/>
        <w:ind w:firstLine="851"/>
        <w:jc w:val="both"/>
      </w:pPr>
      <w:r w:rsidRPr="00AD3D34">
        <w:t>5.</w:t>
      </w:r>
      <w:r w:rsidR="0048088F" w:rsidRPr="00AD3D34">
        <w:t>5</w:t>
      </w:r>
      <w:r w:rsidRPr="00AD3D34">
        <w:t>. Анализ исполнения бюджета ТФОМС</w:t>
      </w:r>
      <w:r w:rsidR="00285B39" w:rsidRPr="00AD3D34">
        <w:t xml:space="preserve"> </w:t>
      </w:r>
      <w:r w:rsidRPr="00AD3D34">
        <w:t>по источникам финансирования дефицита бюджета ТФОМС, предусматрива</w:t>
      </w:r>
      <w:r w:rsidR="0048088F" w:rsidRPr="00AD3D34">
        <w:t>ет</w:t>
      </w:r>
      <w:r w:rsidRPr="00AD3D34">
        <w:t>:</w:t>
      </w:r>
    </w:p>
    <w:p w14:paraId="0B709345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t xml:space="preserve">- </w:t>
      </w:r>
      <w:r w:rsidR="00EC5AA8" w:rsidRPr="00AD3D34">
        <w:t>проверку соблюдения требований бюджетного законодательства в части источников финансирования дефицита бюджета ТФОМС;</w:t>
      </w:r>
    </w:p>
    <w:p w14:paraId="78CE7177" w14:textId="77777777" w:rsidR="00EC5AA8" w:rsidRPr="00AD3D34" w:rsidRDefault="0048088F" w:rsidP="001A7856">
      <w:pPr>
        <w:widowControl w:val="0"/>
        <w:spacing w:line="24" w:lineRule="atLeast"/>
        <w:ind w:firstLine="851"/>
        <w:jc w:val="both"/>
      </w:pPr>
      <w:r w:rsidRPr="00AD3D34">
        <w:lastRenderedPageBreak/>
        <w:t xml:space="preserve">- </w:t>
      </w:r>
      <w:r w:rsidR="00EC5AA8" w:rsidRPr="00AD3D34">
        <w:t>анализ структуры источников внутреннего финансирования дефицита бюджета ТФОМС;</w:t>
      </w:r>
    </w:p>
    <w:p w14:paraId="22E3D34D" w14:textId="77777777" w:rsidR="00EC5AA8" w:rsidRPr="00AD3D34" w:rsidRDefault="0048088F" w:rsidP="009B0050">
      <w:pPr>
        <w:widowControl w:val="0"/>
        <w:spacing w:line="24" w:lineRule="atLeast"/>
        <w:ind w:left="142" w:firstLine="709"/>
        <w:jc w:val="both"/>
      </w:pPr>
      <w:r w:rsidRPr="00AD3D34">
        <w:t xml:space="preserve">- </w:t>
      </w:r>
      <w:r w:rsidR="00EC5AA8" w:rsidRPr="00AD3D34">
        <w:t>сравнение фактических показателей исполнения бюджета ТФОМС</w:t>
      </w:r>
      <w:r w:rsidR="00285B39" w:rsidRPr="00AD3D34">
        <w:t xml:space="preserve"> </w:t>
      </w:r>
      <w:r w:rsidR="00EC5AA8" w:rsidRPr="00AD3D34">
        <w:t>по источникам финансирования дефицита бюджета ТФОМС</w:t>
      </w:r>
      <w:r w:rsidR="00285B39" w:rsidRPr="00AD3D34">
        <w:t xml:space="preserve"> </w:t>
      </w:r>
      <w:r w:rsidR="00EC5AA8" w:rsidRPr="00AD3D34">
        <w:t xml:space="preserve">с показателями, утвержденными законом о бюджете ТФОМС на отчетный финансовый </w:t>
      </w:r>
      <w:proofErr w:type="gramStart"/>
      <w:r w:rsidR="00EC5AA8" w:rsidRPr="00AD3D34">
        <w:t>год</w:t>
      </w:r>
      <w:r w:rsidR="009B0050" w:rsidRPr="00AD3D34">
        <w:t>;</w:t>
      </w:r>
      <w:r w:rsidR="00EC5AA8" w:rsidRPr="00AD3D34">
        <w:t xml:space="preserve"> </w:t>
      </w:r>
      <w:r w:rsidR="009B0050" w:rsidRPr="00AD3D34">
        <w:t xml:space="preserve">  </w:t>
      </w:r>
      <w:proofErr w:type="gramEnd"/>
      <w:r w:rsidR="00EC5AA8" w:rsidRPr="00AD3D34">
        <w:t xml:space="preserve">анализ изменения остатков средств бюджета ТФОМС, определение объема </w:t>
      </w:r>
      <w:r w:rsidR="009B0050" w:rsidRPr="00AD3D34">
        <w:t xml:space="preserve"> </w:t>
      </w:r>
      <w:r w:rsidR="00EC5AA8" w:rsidRPr="00AD3D34">
        <w:t>на начало и конец отчетного финансового года</w:t>
      </w:r>
      <w:r w:rsidR="001A7856" w:rsidRPr="00AD3D34">
        <w:t>.</w:t>
      </w:r>
    </w:p>
    <w:p w14:paraId="192DE833" w14:textId="77777777" w:rsidR="00285B39" w:rsidRPr="00AD3D34" w:rsidRDefault="00EC5AA8" w:rsidP="001A7856">
      <w:pPr>
        <w:widowControl w:val="0"/>
        <w:spacing w:line="24" w:lineRule="atLeast"/>
        <w:ind w:firstLine="851"/>
        <w:jc w:val="both"/>
      </w:pPr>
      <w:r w:rsidRPr="00AD3D34">
        <w:t>5.</w:t>
      </w:r>
      <w:r w:rsidR="0048088F" w:rsidRPr="00AD3D34">
        <w:t>6</w:t>
      </w:r>
      <w:r w:rsidRPr="00AD3D34">
        <w:t>.</w:t>
      </w:r>
      <w:bookmarkStart w:id="12" w:name="_Toc423596222"/>
      <w:r w:rsidRPr="00AD3D34">
        <w:t xml:space="preserve"> Анализ исполнения текстовых статей закона о бюджете ТФОМС на отчетный финансовый год и плановый период, включая</w:t>
      </w:r>
      <w:r w:rsidR="00285B39" w:rsidRPr="00AD3D34">
        <w:t xml:space="preserve"> </w:t>
      </w:r>
      <w:r w:rsidRPr="00AD3D34">
        <w:t>анализ использования нормированного страхового запаса.</w:t>
      </w:r>
    </w:p>
    <w:p w14:paraId="11319AFC" w14:textId="77777777" w:rsidR="00285B39" w:rsidRPr="00AD3D34" w:rsidRDefault="00285B39" w:rsidP="001A7856">
      <w:pPr>
        <w:widowControl w:val="0"/>
        <w:spacing w:line="24" w:lineRule="atLeast"/>
        <w:ind w:firstLine="851"/>
        <w:jc w:val="both"/>
      </w:pPr>
    </w:p>
    <w:p w14:paraId="371380B3" w14:textId="77777777" w:rsidR="00EC5AA8" w:rsidRPr="00AD3D34" w:rsidRDefault="00EC5AA8" w:rsidP="002F2216">
      <w:pPr>
        <w:pStyle w:val="1"/>
        <w:rPr>
          <w:b w:val="0"/>
          <w:i/>
        </w:rPr>
      </w:pPr>
      <w:r w:rsidRPr="00AD3D34">
        <w:rPr>
          <w:i/>
        </w:rPr>
        <w:t>Подготовка заключения по результатам внешней проверки</w:t>
      </w:r>
      <w:bookmarkEnd w:id="12"/>
    </w:p>
    <w:p w14:paraId="023D33FD" w14:textId="77777777" w:rsidR="001D4E87" w:rsidRPr="00AD3D34" w:rsidRDefault="001D4E87" w:rsidP="001D4E87">
      <w:pPr>
        <w:pStyle w:val="a7"/>
        <w:widowControl w:val="0"/>
        <w:spacing w:line="24" w:lineRule="atLeast"/>
        <w:rPr>
          <w:b/>
          <w:i/>
        </w:rPr>
      </w:pPr>
    </w:p>
    <w:p w14:paraId="0100260A" w14:textId="77777777" w:rsidR="00EC5AA8" w:rsidRPr="00AD3D34" w:rsidRDefault="00EC5AA8" w:rsidP="001A7856">
      <w:pPr>
        <w:tabs>
          <w:tab w:val="left" w:pos="1080"/>
        </w:tabs>
        <w:suppressAutoHyphens/>
        <w:spacing w:line="24" w:lineRule="atLeast"/>
        <w:ind w:firstLine="851"/>
        <w:jc w:val="both"/>
      </w:pPr>
      <w:r w:rsidRPr="00AD3D34">
        <w:t xml:space="preserve">6.1. Подготовка заключения на годовой отчет об исполнении бюджета ТФОМС осуществляется на основании результатов внешней проверки годового отчета об исполнении бюджета ТФОМС (с учетом вопросов внешней проверки) и результатов иных контрольных и экспертно-аналитических мероприятий, проведенных по вопросам исполнения бюджета ТФОМС за отчетный финансовый год, в сроки, установленные </w:t>
      </w:r>
      <w:r w:rsidR="006470D0" w:rsidRPr="00AD3D34">
        <w:t xml:space="preserve">планом работы </w:t>
      </w:r>
      <w:r w:rsidRPr="00AD3D34">
        <w:t>в соответствии с требованиями бюджетного законодательства.</w:t>
      </w:r>
    </w:p>
    <w:p w14:paraId="7DBFF8CA" w14:textId="77777777" w:rsidR="00EC5AA8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 xml:space="preserve">6.2. Структура заключения на годовой отчет об исполнении бюджета ТФОМС формируется исходя из задач (вопросов) внешней проверки и структуры закона о бюджете ТФОМС </w:t>
      </w:r>
      <w:r w:rsidR="00285B39" w:rsidRPr="00AD3D34">
        <w:t>(</w:t>
      </w:r>
      <w:r w:rsidRPr="00AD3D34">
        <w:t>в том числе принципов построения бюджетной классификации) и может включать следующие основные разделы:</w:t>
      </w:r>
    </w:p>
    <w:p w14:paraId="48B86632" w14:textId="77777777" w:rsidR="00EC5AA8" w:rsidRPr="00AD3D34" w:rsidRDefault="00EC5AA8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</w:t>
      </w:r>
      <w:r w:rsidR="0027657D" w:rsidRPr="00AD3D34">
        <w:t> </w:t>
      </w:r>
      <w:r w:rsidRPr="00AD3D34">
        <w:t>общие положения (сроки и полнота представления документов, правовые основы проведения внешней проверки, источники информации для заключения на годовой отчет об исполнении бюджета ТФОМС т.д.);</w:t>
      </w:r>
    </w:p>
    <w:p w14:paraId="65356CE5" w14:textId="77777777" w:rsidR="00EC5AA8" w:rsidRPr="00AD3D34" w:rsidRDefault="0027657D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 </w:t>
      </w:r>
      <w:r w:rsidR="00EC5AA8" w:rsidRPr="00AD3D34">
        <w:t>анализ исполнения доходов бюджета</w:t>
      </w:r>
      <w:r w:rsidR="00285B39" w:rsidRPr="00AD3D34">
        <w:t xml:space="preserve"> </w:t>
      </w:r>
      <w:r w:rsidR="00EC5AA8" w:rsidRPr="00AD3D34">
        <w:t>ТФОМС, включающий общую оценку исполнения доходов, налоговых и неналоговых доходов, безвозмездных поступлений;</w:t>
      </w:r>
    </w:p>
    <w:p w14:paraId="4D9F7A23" w14:textId="77777777" w:rsidR="00EC5AA8" w:rsidRPr="00AD3D34" w:rsidRDefault="0027657D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 </w:t>
      </w:r>
      <w:r w:rsidR="00EC5AA8" w:rsidRPr="00AD3D34">
        <w:t>объем межбюджетных трансфертов, получаемых из других бюджетов и/или предоставляемых другим бюджетам бюджетной системы Российской Федерации;</w:t>
      </w:r>
    </w:p>
    <w:p w14:paraId="7A1D6E99" w14:textId="77777777" w:rsidR="00EC5AA8" w:rsidRPr="00AD3D34" w:rsidRDefault="0027657D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 </w:t>
      </w:r>
      <w:r w:rsidR="00EC5AA8" w:rsidRPr="00AD3D34">
        <w:t>анализ исполнения расходов бюджета</w:t>
      </w:r>
      <w:r w:rsidR="00285B39" w:rsidRPr="00AD3D34">
        <w:t xml:space="preserve"> </w:t>
      </w:r>
      <w:r w:rsidR="00EC5AA8" w:rsidRPr="00AD3D34">
        <w:t>ТФОМС, включающий общую оценку расходов, анализ расходов на основе перечня государственных программ с учетом разделов и подразделов классификации расходов;</w:t>
      </w:r>
    </w:p>
    <w:p w14:paraId="5628D446" w14:textId="77777777" w:rsidR="00EC5AA8" w:rsidRPr="00AD3D34" w:rsidRDefault="0027657D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 </w:t>
      </w:r>
      <w:r w:rsidR="00EC5AA8" w:rsidRPr="00AD3D34">
        <w:t>анализ дебиторской и кредиторской задолженности ТФОМС;</w:t>
      </w:r>
    </w:p>
    <w:p w14:paraId="77646275" w14:textId="77777777" w:rsidR="00EC5AA8" w:rsidRPr="00AD3D34" w:rsidRDefault="00EC5AA8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</w:t>
      </w:r>
      <w:r w:rsidR="0027657D" w:rsidRPr="00AD3D34">
        <w:t> </w:t>
      </w:r>
      <w:r w:rsidRPr="00AD3D34">
        <w:t>анализ</w:t>
      </w:r>
      <w:r w:rsidR="00285B39" w:rsidRPr="00AD3D34">
        <w:t xml:space="preserve"> </w:t>
      </w:r>
      <w:r w:rsidRPr="00AD3D34">
        <w:t>размера дефицита (профицита) бюджета ТФОМС и источников его финансирования;</w:t>
      </w:r>
    </w:p>
    <w:p w14:paraId="61222B52" w14:textId="77777777" w:rsidR="00EC5AA8" w:rsidRPr="00AD3D34" w:rsidRDefault="0027657D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 </w:t>
      </w:r>
      <w:r w:rsidR="00EC5AA8" w:rsidRPr="00AD3D34">
        <w:rPr>
          <w:color w:val="000000"/>
          <w:spacing w:val="-1"/>
        </w:rPr>
        <w:t xml:space="preserve">результаты контрольных и экспертно-аналитических мероприятий, проведенных </w:t>
      </w:r>
      <w:r w:rsidR="002F2216" w:rsidRPr="00AD3D34">
        <w:rPr>
          <w:color w:val="000000"/>
          <w:spacing w:val="-1"/>
        </w:rPr>
        <w:t>Счетной палатой</w:t>
      </w:r>
      <w:r w:rsidR="00EC5AA8" w:rsidRPr="00AD3D34">
        <w:t xml:space="preserve">, а также результаты экспертизы проекта закона </w:t>
      </w:r>
      <w:proofErr w:type="gramStart"/>
      <w:r w:rsidR="002F2216" w:rsidRPr="00AD3D34">
        <w:t xml:space="preserve">Ульяновской </w:t>
      </w:r>
      <w:r w:rsidR="00285B39" w:rsidRPr="00AD3D34">
        <w:t xml:space="preserve"> области</w:t>
      </w:r>
      <w:proofErr w:type="gramEnd"/>
      <w:r w:rsidR="00EC5AA8" w:rsidRPr="00AD3D34">
        <w:t xml:space="preserve"> об исполнении бюджета ТФОМС за отчетный финансовый год;</w:t>
      </w:r>
    </w:p>
    <w:p w14:paraId="76E4DCB3" w14:textId="77777777" w:rsidR="00EC5AA8" w:rsidRPr="00AD3D34" w:rsidRDefault="0027657D" w:rsidP="001A7856">
      <w:pPr>
        <w:pStyle w:val="12"/>
        <w:tabs>
          <w:tab w:val="clear" w:pos="1276"/>
          <w:tab w:val="left" w:pos="1080"/>
        </w:tabs>
        <w:suppressAutoHyphens/>
        <w:spacing w:line="24" w:lineRule="atLeast"/>
        <w:ind w:firstLine="851"/>
      </w:pPr>
      <w:r w:rsidRPr="00AD3D34">
        <w:t>- </w:t>
      </w:r>
      <w:r w:rsidR="00EC5AA8" w:rsidRPr="00AD3D34">
        <w:t xml:space="preserve">выводы и </w:t>
      </w:r>
      <w:r w:rsidR="002F2216" w:rsidRPr="00AD3D34">
        <w:t>предложения.</w:t>
      </w:r>
    </w:p>
    <w:p w14:paraId="44F3BF28" w14:textId="77777777" w:rsidR="00EC5AA8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lastRenderedPageBreak/>
        <w:t>6.3. В заключении на годовой отчет об исполнении бюджета ТФОМС отражаются все установленные факты неполноты и недостоверности показателей годового отчета об исполнении бюджета</w:t>
      </w:r>
      <w:r w:rsidR="00F91874" w:rsidRPr="00AD3D34">
        <w:t xml:space="preserve"> </w:t>
      </w:r>
      <w:r w:rsidRPr="00AD3D34">
        <w:t>ТФОМС, которые утверждаются в законе об исполнении бюджета</w:t>
      </w:r>
      <w:r w:rsidR="00F91874" w:rsidRPr="00AD3D34">
        <w:t xml:space="preserve"> </w:t>
      </w:r>
      <w:r w:rsidRPr="00AD3D34">
        <w:t>ТФОМС.</w:t>
      </w:r>
    </w:p>
    <w:p w14:paraId="55F92C62" w14:textId="77777777" w:rsidR="00EC5AA8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 xml:space="preserve">6.4. Выводы и предложения должны соответствовать структуре и содержанию заключения, отражать причины отклонений и нарушений, допущенных в ходе исполнения бюджета ТФОМС и содержать </w:t>
      </w:r>
      <w:proofErr w:type="gramStart"/>
      <w:r w:rsidRPr="00AD3D34">
        <w:t>предложения  по</w:t>
      </w:r>
      <w:proofErr w:type="gramEnd"/>
      <w:r w:rsidRPr="00AD3D34">
        <w:t xml:space="preserve"> совершенствованию бюджетного процесса.</w:t>
      </w:r>
    </w:p>
    <w:p w14:paraId="5328970C" w14:textId="77777777" w:rsidR="00F91874" w:rsidRPr="00AD3D34" w:rsidRDefault="00EC5AA8" w:rsidP="001A7856">
      <w:pPr>
        <w:suppressAutoHyphens/>
        <w:spacing w:line="24" w:lineRule="atLeast"/>
        <w:ind w:firstLine="851"/>
        <w:jc w:val="both"/>
      </w:pPr>
      <w:r w:rsidRPr="00AD3D34">
        <w:t>6.5. Заключение на годовой отчет об исполнении бюджета ТФОМС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  <w:bookmarkStart w:id="13" w:name="_Toc423596223"/>
    </w:p>
    <w:p w14:paraId="57379354" w14:textId="77777777" w:rsidR="00F91874" w:rsidRPr="00AD3D34" w:rsidRDefault="00F91874" w:rsidP="001A7856">
      <w:pPr>
        <w:suppressAutoHyphens/>
        <w:spacing w:line="24" w:lineRule="atLeast"/>
        <w:ind w:firstLine="851"/>
        <w:jc w:val="both"/>
      </w:pPr>
    </w:p>
    <w:p w14:paraId="0A1BF3E8" w14:textId="77777777" w:rsidR="00EC5AA8" w:rsidRPr="00AD3D34" w:rsidRDefault="00EC5AA8" w:rsidP="002F2216">
      <w:pPr>
        <w:pStyle w:val="1"/>
        <w:rPr>
          <w:b w:val="0"/>
          <w:i/>
        </w:rPr>
      </w:pPr>
      <w:r w:rsidRPr="00AD3D34">
        <w:rPr>
          <w:i/>
        </w:rPr>
        <w:t>Порядок рассмотрения и направления результатов внешней проверки</w:t>
      </w:r>
      <w:bookmarkEnd w:id="13"/>
    </w:p>
    <w:p w14:paraId="6D68BE74" w14:textId="77777777" w:rsidR="00181DCC" w:rsidRPr="00AD3D34" w:rsidRDefault="00181DCC" w:rsidP="00181DCC">
      <w:pPr>
        <w:pStyle w:val="a7"/>
        <w:suppressAutoHyphens/>
        <w:spacing w:line="24" w:lineRule="atLeast"/>
        <w:rPr>
          <w:b/>
          <w:i/>
        </w:rPr>
      </w:pPr>
    </w:p>
    <w:p w14:paraId="665F6AAA" w14:textId="77777777" w:rsidR="0084572C" w:rsidRPr="00AD3D34" w:rsidRDefault="00B12F9A" w:rsidP="001A7856">
      <w:pPr>
        <w:tabs>
          <w:tab w:val="left" w:pos="1134"/>
        </w:tabs>
        <w:autoSpaceDE w:val="0"/>
        <w:autoSpaceDN w:val="0"/>
        <w:adjustRightInd w:val="0"/>
        <w:spacing w:line="24" w:lineRule="atLeast"/>
        <w:ind w:firstLine="851"/>
        <w:jc w:val="both"/>
      </w:pPr>
      <w:r w:rsidRPr="00AD3D34">
        <w:t xml:space="preserve">7.1. </w:t>
      </w:r>
      <w:r w:rsidR="002F2216" w:rsidRPr="00AD3D34">
        <w:t>З</w:t>
      </w:r>
      <w:r w:rsidRPr="00AD3D34">
        <w:t>аключени</w:t>
      </w:r>
      <w:r w:rsidR="002F2216" w:rsidRPr="00AD3D34">
        <w:t xml:space="preserve">е </w:t>
      </w:r>
      <w:r w:rsidR="0084572C" w:rsidRPr="00AD3D34">
        <w:t xml:space="preserve">Счетной </w:t>
      </w:r>
      <w:proofErr w:type="gramStart"/>
      <w:r w:rsidR="0084572C" w:rsidRPr="00AD3D34">
        <w:t>палаты  на</w:t>
      </w:r>
      <w:proofErr w:type="gramEnd"/>
      <w:r w:rsidR="0084572C" w:rsidRPr="00AD3D34">
        <w:t xml:space="preserve"> годовой отчет об исполнении бюджета ТФОМС</w:t>
      </w:r>
      <w:r w:rsidR="002F2216" w:rsidRPr="00AD3D34">
        <w:t xml:space="preserve"> </w:t>
      </w:r>
      <w:r w:rsidR="0084572C" w:rsidRPr="00AD3D34">
        <w:t xml:space="preserve">рассматривается и утверждается на заседании Коллегии Счетной палаты. </w:t>
      </w:r>
      <w:r w:rsidRPr="00AD3D34">
        <w:t xml:space="preserve"> </w:t>
      </w:r>
    </w:p>
    <w:p w14:paraId="758BE5C7" w14:textId="77777777" w:rsidR="00EC5AA8" w:rsidRPr="008F72E6" w:rsidRDefault="00EC5AA8" w:rsidP="001A7856">
      <w:pPr>
        <w:tabs>
          <w:tab w:val="left" w:pos="1134"/>
        </w:tabs>
        <w:autoSpaceDE w:val="0"/>
        <w:autoSpaceDN w:val="0"/>
        <w:adjustRightInd w:val="0"/>
        <w:spacing w:line="24" w:lineRule="atLeast"/>
        <w:ind w:firstLine="851"/>
        <w:jc w:val="both"/>
      </w:pPr>
      <w:r w:rsidRPr="00AD3D34">
        <w:t>7.</w:t>
      </w:r>
      <w:r w:rsidR="0048088F" w:rsidRPr="00AD3D34">
        <w:t>2</w:t>
      </w:r>
      <w:r w:rsidRPr="00AD3D34">
        <w:t xml:space="preserve">. </w:t>
      </w:r>
      <w:proofErr w:type="gramStart"/>
      <w:r w:rsidRPr="00AD3D34">
        <w:t xml:space="preserve">Заключение </w:t>
      </w:r>
      <w:r w:rsidR="00F91874" w:rsidRPr="00AD3D34">
        <w:t xml:space="preserve"> </w:t>
      </w:r>
      <w:r w:rsidRPr="00AD3D34">
        <w:t>на</w:t>
      </w:r>
      <w:proofErr w:type="gramEnd"/>
      <w:r w:rsidRPr="00AD3D34">
        <w:t xml:space="preserve"> годовой отчет об исполнении бюджета ТФОМС </w:t>
      </w:r>
      <w:r w:rsidRPr="00AD3D34">
        <w:rPr>
          <w:rFonts w:eastAsiaTheme="minorHAnsi"/>
        </w:rPr>
        <w:t xml:space="preserve">направляется </w:t>
      </w:r>
      <w:r w:rsidRPr="00AD3D34">
        <w:t>в сроки,</w:t>
      </w:r>
      <w:r w:rsidR="00F91874" w:rsidRPr="00AD3D34">
        <w:t xml:space="preserve"> </w:t>
      </w:r>
      <w:r w:rsidRPr="00AD3D34">
        <w:t xml:space="preserve">установленные </w:t>
      </w:r>
      <w:r w:rsidR="00F91874" w:rsidRPr="00AD3D34">
        <w:t xml:space="preserve">Законом </w:t>
      </w:r>
      <w:r w:rsidR="009B0050" w:rsidRPr="00AD3D34">
        <w:t>Ульяновской области «О</w:t>
      </w:r>
      <w:r w:rsidR="00537695" w:rsidRPr="00AD3D34">
        <w:t xml:space="preserve">б особенностях </w:t>
      </w:r>
      <w:r w:rsidR="009B0050" w:rsidRPr="00AD3D34">
        <w:t>бюджетно</w:t>
      </w:r>
      <w:r w:rsidR="00537695" w:rsidRPr="00AD3D34">
        <w:t>го</w:t>
      </w:r>
      <w:r w:rsidR="009B0050" w:rsidRPr="00AD3D34">
        <w:t xml:space="preserve"> процесс</w:t>
      </w:r>
      <w:r w:rsidR="00537695" w:rsidRPr="00AD3D34">
        <w:t>а Ульяновской области»</w:t>
      </w:r>
      <w:r w:rsidR="0010451A" w:rsidRPr="00AD3D34">
        <w:t xml:space="preserve"> (статья 21)</w:t>
      </w:r>
      <w:r w:rsidR="00537695" w:rsidRPr="00AD3D34">
        <w:t xml:space="preserve"> для </w:t>
      </w:r>
      <w:r w:rsidR="009B0050" w:rsidRPr="00AD3D34">
        <w:t xml:space="preserve"> </w:t>
      </w:r>
      <w:r w:rsidR="0010451A" w:rsidRPr="00AD3D34">
        <w:t xml:space="preserve">заключения на годовой отчет об исполнении областного бюджета Ульяновской области </w:t>
      </w:r>
      <w:r w:rsidRPr="00AD3D34">
        <w:rPr>
          <w:rFonts w:eastAsiaTheme="minorHAnsi"/>
        </w:rPr>
        <w:t xml:space="preserve">в </w:t>
      </w:r>
      <w:r w:rsidR="0084572C" w:rsidRPr="00AD3D34">
        <w:rPr>
          <w:rFonts w:eastAsiaTheme="minorHAnsi"/>
        </w:rPr>
        <w:t>Законодательное Собрание Ульяновской области и Правительство Ульяновской области .</w:t>
      </w:r>
    </w:p>
    <w:sectPr w:rsidR="00EC5AA8" w:rsidRPr="008F72E6" w:rsidSect="00D86E0C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56C3" w14:textId="77777777" w:rsidR="00D4244A" w:rsidRDefault="00D4244A" w:rsidP="00A0022A">
      <w:r>
        <w:separator/>
      </w:r>
    </w:p>
  </w:endnote>
  <w:endnote w:type="continuationSeparator" w:id="0">
    <w:p w14:paraId="32C87558" w14:textId="77777777" w:rsidR="00D4244A" w:rsidRDefault="00D4244A" w:rsidP="00A0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2D98" w14:textId="77777777" w:rsidR="00D4244A" w:rsidRDefault="00D4244A" w:rsidP="00A0022A">
      <w:r>
        <w:separator/>
      </w:r>
    </w:p>
  </w:footnote>
  <w:footnote w:type="continuationSeparator" w:id="0">
    <w:p w14:paraId="31B5A3F4" w14:textId="77777777" w:rsidR="00D4244A" w:rsidRDefault="00D4244A" w:rsidP="00A0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362967"/>
      <w:docPartObj>
        <w:docPartGallery w:val="Page Numbers (Top of Page)"/>
        <w:docPartUnique/>
      </w:docPartObj>
    </w:sdtPr>
    <w:sdtContent>
      <w:p w14:paraId="631F58EA" w14:textId="77777777" w:rsidR="00240AB0" w:rsidRDefault="00992B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4D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532"/>
    <w:multiLevelType w:val="hybridMultilevel"/>
    <w:tmpl w:val="E89E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DE0"/>
    <w:multiLevelType w:val="hybridMultilevel"/>
    <w:tmpl w:val="C1EE4FB0"/>
    <w:lvl w:ilvl="0" w:tplc="C25CDE6E">
      <w:start w:val="7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4C4BB5"/>
    <w:multiLevelType w:val="hybridMultilevel"/>
    <w:tmpl w:val="B350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0155"/>
    <w:multiLevelType w:val="multilevel"/>
    <w:tmpl w:val="25C696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86F11"/>
    <w:multiLevelType w:val="hybridMultilevel"/>
    <w:tmpl w:val="A4CA467A"/>
    <w:lvl w:ilvl="0" w:tplc="2EC0E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32F7"/>
    <w:multiLevelType w:val="multilevel"/>
    <w:tmpl w:val="C2EE9C4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  <w:strike w:val="0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44125374">
    <w:abstractNumId w:val="3"/>
  </w:num>
  <w:num w:numId="2" w16cid:durableId="876160502">
    <w:abstractNumId w:val="5"/>
  </w:num>
  <w:num w:numId="3" w16cid:durableId="912399141">
    <w:abstractNumId w:val="1"/>
  </w:num>
  <w:num w:numId="4" w16cid:durableId="1891769049">
    <w:abstractNumId w:val="0"/>
  </w:num>
  <w:num w:numId="5" w16cid:durableId="1173565232">
    <w:abstractNumId w:val="2"/>
  </w:num>
  <w:num w:numId="6" w16cid:durableId="807403996">
    <w:abstractNumId w:val="6"/>
  </w:num>
  <w:num w:numId="7" w16cid:durableId="1710645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AA8"/>
    <w:rsid w:val="00086D58"/>
    <w:rsid w:val="00096F4B"/>
    <w:rsid w:val="000B0FB0"/>
    <w:rsid w:val="000D1718"/>
    <w:rsid w:val="000E3EC1"/>
    <w:rsid w:val="0010451A"/>
    <w:rsid w:val="00152600"/>
    <w:rsid w:val="0016325E"/>
    <w:rsid w:val="00181DCC"/>
    <w:rsid w:val="0018367E"/>
    <w:rsid w:val="001854DC"/>
    <w:rsid w:val="0019164A"/>
    <w:rsid w:val="001A606F"/>
    <w:rsid w:val="001A7856"/>
    <w:rsid w:val="001D4E87"/>
    <w:rsid w:val="001E16A3"/>
    <w:rsid w:val="00225416"/>
    <w:rsid w:val="00240AB0"/>
    <w:rsid w:val="00250CB9"/>
    <w:rsid w:val="0027657D"/>
    <w:rsid w:val="002817D6"/>
    <w:rsid w:val="00285B39"/>
    <w:rsid w:val="00287D97"/>
    <w:rsid w:val="002A15AC"/>
    <w:rsid w:val="002F2216"/>
    <w:rsid w:val="00305188"/>
    <w:rsid w:val="00317CDD"/>
    <w:rsid w:val="003351F1"/>
    <w:rsid w:val="00394CC8"/>
    <w:rsid w:val="003C77FF"/>
    <w:rsid w:val="004024FB"/>
    <w:rsid w:val="004100C3"/>
    <w:rsid w:val="00414AD3"/>
    <w:rsid w:val="004475AF"/>
    <w:rsid w:val="004517BD"/>
    <w:rsid w:val="00473942"/>
    <w:rsid w:val="0048088F"/>
    <w:rsid w:val="00484D64"/>
    <w:rsid w:val="004B4FC6"/>
    <w:rsid w:val="00530FFD"/>
    <w:rsid w:val="00531675"/>
    <w:rsid w:val="00537695"/>
    <w:rsid w:val="00585C5F"/>
    <w:rsid w:val="005A0B8D"/>
    <w:rsid w:val="005A469F"/>
    <w:rsid w:val="005B0019"/>
    <w:rsid w:val="005B7CE9"/>
    <w:rsid w:val="005C4339"/>
    <w:rsid w:val="005C52C4"/>
    <w:rsid w:val="005C7299"/>
    <w:rsid w:val="00602F39"/>
    <w:rsid w:val="006042DE"/>
    <w:rsid w:val="006470D0"/>
    <w:rsid w:val="006E1069"/>
    <w:rsid w:val="006E3148"/>
    <w:rsid w:val="00735708"/>
    <w:rsid w:val="00760671"/>
    <w:rsid w:val="007677FD"/>
    <w:rsid w:val="00767B91"/>
    <w:rsid w:val="007A351C"/>
    <w:rsid w:val="00812DFF"/>
    <w:rsid w:val="0084572C"/>
    <w:rsid w:val="008770EB"/>
    <w:rsid w:val="00896DC0"/>
    <w:rsid w:val="008C0473"/>
    <w:rsid w:val="008F72E6"/>
    <w:rsid w:val="00952A5A"/>
    <w:rsid w:val="00953EF6"/>
    <w:rsid w:val="009918F5"/>
    <w:rsid w:val="00992B8C"/>
    <w:rsid w:val="009A729F"/>
    <w:rsid w:val="009B0050"/>
    <w:rsid w:val="009D58A3"/>
    <w:rsid w:val="00A0022A"/>
    <w:rsid w:val="00A01D5F"/>
    <w:rsid w:val="00A35582"/>
    <w:rsid w:val="00A54A01"/>
    <w:rsid w:val="00AD3D34"/>
    <w:rsid w:val="00AE0C4C"/>
    <w:rsid w:val="00AE1C63"/>
    <w:rsid w:val="00B01EA9"/>
    <w:rsid w:val="00B12F9A"/>
    <w:rsid w:val="00B14B2E"/>
    <w:rsid w:val="00B33FFC"/>
    <w:rsid w:val="00B40FA2"/>
    <w:rsid w:val="00B47429"/>
    <w:rsid w:val="00B6686A"/>
    <w:rsid w:val="00B814E6"/>
    <w:rsid w:val="00BF1724"/>
    <w:rsid w:val="00C31502"/>
    <w:rsid w:val="00C50AA7"/>
    <w:rsid w:val="00C65A73"/>
    <w:rsid w:val="00CA7AC8"/>
    <w:rsid w:val="00CD1550"/>
    <w:rsid w:val="00CD6E0F"/>
    <w:rsid w:val="00CE0D4D"/>
    <w:rsid w:val="00D03E26"/>
    <w:rsid w:val="00D4244A"/>
    <w:rsid w:val="00D52B6C"/>
    <w:rsid w:val="00D63705"/>
    <w:rsid w:val="00D81DE1"/>
    <w:rsid w:val="00D829F7"/>
    <w:rsid w:val="00D86E0C"/>
    <w:rsid w:val="00D962FF"/>
    <w:rsid w:val="00DE0F9B"/>
    <w:rsid w:val="00DE6658"/>
    <w:rsid w:val="00DE6FC2"/>
    <w:rsid w:val="00E05BBE"/>
    <w:rsid w:val="00E149D7"/>
    <w:rsid w:val="00E71760"/>
    <w:rsid w:val="00E9544E"/>
    <w:rsid w:val="00E9717C"/>
    <w:rsid w:val="00EB420F"/>
    <w:rsid w:val="00EC5AA8"/>
    <w:rsid w:val="00F41224"/>
    <w:rsid w:val="00F543DC"/>
    <w:rsid w:val="00F77E17"/>
    <w:rsid w:val="00F83854"/>
    <w:rsid w:val="00F91874"/>
    <w:rsid w:val="00FA3215"/>
    <w:rsid w:val="00FB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525B"/>
  <w15:docId w15:val="{9A7C789B-684F-475D-A3C8-4C4371AF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A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C5AA8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AA8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Default">
    <w:name w:val="Default"/>
    <w:rsid w:val="00EC5A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EC5AA8"/>
    <w:rPr>
      <w:color w:val="0000FF"/>
      <w:u w:val="single"/>
    </w:rPr>
  </w:style>
  <w:style w:type="character" w:styleId="a4">
    <w:name w:val="Strong"/>
    <w:qFormat/>
    <w:rsid w:val="00EC5AA8"/>
    <w:rPr>
      <w:b/>
      <w:bCs/>
    </w:rPr>
  </w:style>
  <w:style w:type="paragraph" w:styleId="a5">
    <w:name w:val="header"/>
    <w:basedOn w:val="a"/>
    <w:link w:val="a6"/>
    <w:uiPriority w:val="99"/>
    <w:unhideWhenUsed/>
    <w:rsid w:val="00EC5A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5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C5AA8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EC5AA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E6FC2"/>
    <w:pPr>
      <w:tabs>
        <w:tab w:val="right" w:leader="dot" w:pos="9911"/>
      </w:tabs>
      <w:jc w:val="center"/>
    </w:pPr>
    <w:rPr>
      <w:i/>
    </w:rPr>
  </w:style>
  <w:style w:type="paragraph" w:customStyle="1" w:styleId="12">
    <w:name w:val="Абзац списка1"/>
    <w:basedOn w:val="a"/>
    <w:rsid w:val="00EC5AA8"/>
    <w:pPr>
      <w:tabs>
        <w:tab w:val="left" w:pos="1276"/>
      </w:tabs>
      <w:ind w:firstLine="709"/>
      <w:jc w:val="both"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6D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D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4024FB"/>
    <w:pPr>
      <w:spacing w:after="120"/>
      <w:ind w:firstLine="709"/>
      <w:jc w:val="both"/>
    </w:pPr>
    <w:rPr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4024FB"/>
    <w:rPr>
      <w:rFonts w:ascii="Times New Roman" w:eastAsia="Times New Roman" w:hAnsi="Times New Roman" w:cs="Times New Roman"/>
      <w:sz w:val="28"/>
    </w:rPr>
  </w:style>
  <w:style w:type="paragraph" w:customStyle="1" w:styleId="2">
    <w:name w:val="Абзац списка2"/>
    <w:basedOn w:val="a"/>
    <w:rsid w:val="004024FB"/>
    <w:pPr>
      <w:tabs>
        <w:tab w:val="left" w:pos="1276"/>
      </w:tabs>
      <w:ind w:firstLine="709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3443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Самарцева</dc:creator>
  <cp:lastModifiedBy>Maximov</cp:lastModifiedBy>
  <cp:revision>70</cp:revision>
  <cp:lastPrinted>2018-02-08T05:41:00Z</cp:lastPrinted>
  <dcterms:created xsi:type="dcterms:W3CDTF">2016-10-19T10:13:00Z</dcterms:created>
  <dcterms:modified xsi:type="dcterms:W3CDTF">2024-07-19T05:43:00Z</dcterms:modified>
</cp:coreProperties>
</file>